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hint="eastAsia" w:ascii="Arial" w:hAnsi="Arial" w:cs="Arial"/>
          <w:b/>
          <w:sz w:val="22"/>
          <w:szCs w:val="22"/>
          <w:lang w:eastAsia="zh-CN"/>
        </w:rPr>
        <w:t>#96b</w:t>
      </w:r>
      <w:r>
        <w:rPr>
          <w:rFonts w:ascii="Arial" w:hAnsi="Arial" w:cs="Arial"/>
          <w:b/>
          <w:sz w:val="22"/>
          <w:szCs w:val="22"/>
          <w:lang w:eastAsia="zh-CN"/>
        </w:rPr>
        <w:t>is</w:t>
      </w:r>
      <w:r>
        <w:rPr>
          <w:rFonts w:hint="eastAsia" w:ascii="Arial" w:hAnsi="Arial" w:cs="Arial"/>
          <w:b/>
          <w:sz w:val="22"/>
          <w:szCs w:val="22"/>
          <w:lang w:val="en-US" w:eastAsia="zh-CN"/>
        </w:rPr>
        <w:t xml:space="preserve">                                        </w:t>
      </w:r>
      <w:r>
        <w:rPr>
          <w:rFonts w:ascii="Arial" w:hAnsi="Arial" w:cs="Arial"/>
          <w:b/>
          <w:sz w:val="22"/>
          <w:szCs w:val="22"/>
        </w:rPr>
        <w:t>R1-1904156</w:t>
      </w:r>
    </w:p>
    <w:p>
      <w:pPr>
        <w:tabs>
          <w:tab w:val="right" w:pos="9630"/>
        </w:tabs>
        <w:spacing w:after="0"/>
        <w:rPr>
          <w:rFonts w:ascii="Arial" w:hAnsi="Arial" w:cs="Arial"/>
          <w:b/>
          <w:sz w:val="22"/>
          <w:szCs w:val="22"/>
        </w:rPr>
      </w:pPr>
      <w:r>
        <w:rPr>
          <w:rFonts w:hint="eastAsia" w:ascii="Arial" w:hAnsi="Arial" w:cs="Arial"/>
          <w:b/>
          <w:sz w:val="22"/>
          <w:szCs w:val="22"/>
          <w:lang w:eastAsia="zh-CN"/>
        </w:rPr>
        <w:t>Xi</w:t>
      </w:r>
      <w:r>
        <w:rPr>
          <w:rFonts w:ascii="Arial" w:hAnsi="Arial" w:cs="Arial"/>
          <w:b/>
          <w:sz w:val="22"/>
          <w:szCs w:val="22"/>
          <w:lang w:eastAsia="zh-CN"/>
        </w:rPr>
        <w:t>’</w:t>
      </w:r>
      <w:r>
        <w:rPr>
          <w:rFonts w:hint="eastAsia" w:ascii="Arial" w:hAnsi="Arial" w:cs="Arial"/>
          <w:b/>
          <w:sz w:val="22"/>
          <w:szCs w:val="22"/>
          <w:lang w:eastAsia="zh-CN"/>
        </w:rPr>
        <w:t>an</w:t>
      </w:r>
      <w:r>
        <w:rPr>
          <w:rFonts w:ascii="Arial" w:hAnsi="Arial" w:cs="Arial"/>
          <w:b/>
          <w:sz w:val="22"/>
          <w:szCs w:val="22"/>
        </w:rPr>
        <w:t xml:space="preserve">, </w:t>
      </w:r>
      <w:r>
        <w:rPr>
          <w:rFonts w:hint="eastAsia" w:ascii="Arial" w:hAnsi="Arial" w:cs="Arial"/>
          <w:b/>
          <w:sz w:val="22"/>
          <w:szCs w:val="22"/>
          <w:lang w:eastAsia="zh-CN"/>
        </w:rPr>
        <w:t>China, 8</w:t>
      </w:r>
      <w:r>
        <w:rPr>
          <w:rFonts w:hint="eastAsia" w:ascii="Arial" w:hAnsi="Arial" w:cs="Arial"/>
          <w:b/>
          <w:sz w:val="22"/>
          <w:szCs w:val="22"/>
          <w:vertAlign w:val="superscript"/>
          <w:lang w:eastAsia="zh-CN"/>
        </w:rPr>
        <w:t>th</w:t>
      </w:r>
      <w:r>
        <w:rPr>
          <w:rFonts w:ascii="Arial" w:hAnsi="Arial" w:cs="Arial"/>
          <w:b/>
          <w:sz w:val="22"/>
          <w:szCs w:val="22"/>
        </w:rPr>
        <w:t xml:space="preserve"> – </w:t>
      </w:r>
      <w:r>
        <w:rPr>
          <w:rFonts w:hint="eastAsia" w:ascii="Arial" w:hAnsi="Arial" w:cs="Arial"/>
          <w:b/>
          <w:sz w:val="22"/>
          <w:szCs w:val="22"/>
          <w:lang w:eastAsia="zh-CN"/>
        </w:rPr>
        <w:t>12</w:t>
      </w:r>
      <w:r>
        <w:rPr>
          <w:rFonts w:hint="eastAsia" w:ascii="Arial" w:hAnsi="Arial" w:cs="Arial"/>
          <w:b/>
          <w:sz w:val="22"/>
          <w:szCs w:val="22"/>
          <w:vertAlign w:val="superscript"/>
          <w:lang w:eastAsia="zh-CN"/>
        </w:rPr>
        <w:t xml:space="preserve">th </w:t>
      </w:r>
      <w:r>
        <w:rPr>
          <w:rFonts w:hint="eastAsia" w:ascii="Arial" w:hAnsi="Arial" w:cs="Arial"/>
          <w:b/>
          <w:sz w:val="22"/>
          <w:szCs w:val="22"/>
          <w:lang w:eastAsia="zh-CN"/>
        </w:rPr>
        <w:t>April,</w:t>
      </w:r>
      <w:r>
        <w:rPr>
          <w:rFonts w:ascii="Arial" w:hAnsi="Arial" w:cs="Arial"/>
          <w:b/>
          <w:sz w:val="22"/>
          <w:szCs w:val="22"/>
        </w:rPr>
        <w:t xml:space="preserve"> 2019</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 xml:space="preserve">Discussion on </w:t>
      </w:r>
      <w:r>
        <w:rPr>
          <w:rFonts w:hint="eastAsia" w:ascii="Arial" w:hAnsi="Arial"/>
          <w:b/>
          <w:lang w:eastAsia="zh-CN"/>
        </w:rPr>
        <w:t>low latency SCell activation</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w:t>
      </w:r>
      <w:r>
        <w:rPr>
          <w:rFonts w:hint="eastAsia" w:ascii="Arial" w:hAnsi="Arial"/>
          <w:b/>
          <w:lang w:eastAsia="zh-CN"/>
        </w:rPr>
        <w:t>4</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eastAsia="zh-CN"/>
        </w:rPr>
      </w:pPr>
      <w:r>
        <w:rPr>
          <w:lang w:eastAsia="zh-CN"/>
        </w:rPr>
        <w:t xml:space="preserve">According to the latest WID of Rel-16 CA/DC enhancement </w:t>
      </w:r>
      <w:r>
        <w:rPr>
          <w:lang w:eastAsia="zh-CN"/>
        </w:rPr>
        <w:fldChar w:fldCharType="begin"/>
      </w:r>
      <w:r>
        <w:rPr>
          <w:lang w:eastAsia="zh-CN"/>
        </w:rPr>
        <w:instrText xml:space="preserve"> REF _Ref29168 \n \h </w:instrText>
      </w:r>
      <w:r>
        <w:rPr>
          <w:lang w:eastAsia="zh-CN"/>
        </w:rPr>
        <w:fldChar w:fldCharType="separate"/>
      </w:r>
      <w:r>
        <w:rPr>
          <w:lang w:eastAsia="zh-CN"/>
        </w:rPr>
        <w:t>[1]</w:t>
      </w:r>
      <w:r>
        <w:rPr>
          <w:lang w:eastAsia="zh-CN"/>
        </w:rPr>
        <w:fldChar w:fldCharType="end"/>
      </w:r>
      <w:r>
        <w:rPr>
          <w:lang w:eastAsia="zh-CN"/>
        </w:rPr>
        <w:t>, one of the objectives is to introduce faster SCell activation mechanisms/solutions.</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after="0" w:line="280" w:lineRule="atLeast"/>
              <w:textAlignment w:val="auto"/>
              <w:rPr>
                <w:rFonts w:ascii="New York" w:hAnsi="New York" w:eastAsiaTheme="minorEastAsia"/>
                <w:bCs/>
              </w:rPr>
            </w:pPr>
            <w:r>
              <w:rPr>
                <w:rFonts w:ascii="New York" w:hAnsi="New York"/>
                <w:b/>
                <w:bCs/>
              </w:rPr>
              <w:t>Efficient and low latency serving cell configuration/activation/setup:</w:t>
            </w:r>
            <w:r>
              <w:rPr>
                <w:rFonts w:ascii="New York" w:hAnsi="New York"/>
                <w:bCs/>
              </w:rPr>
              <w:t xml:space="preserve"> Minimizing signalling overhead and latency needed for initial cell setup, additional cell setup and additional cell activation for data transmission. [RAN2, RAN1, RAN4, RAN3]</w:t>
            </w:r>
          </w:p>
          <w:p>
            <w:pPr>
              <w:numPr>
                <w:ilvl w:val="1"/>
                <w:numId w:val="9"/>
              </w:numPr>
              <w:spacing w:before="120" w:after="0" w:line="280" w:lineRule="atLeast"/>
              <w:ind w:left="867" w:hanging="357"/>
              <w:textAlignment w:val="auto"/>
              <w:rPr>
                <w:rFonts w:ascii="New York" w:hAnsi="New York"/>
                <w:bCs/>
              </w:rPr>
            </w:pPr>
            <w:r>
              <w:rPr>
                <w:rFonts w:ascii="New York" w:hAnsi="New York"/>
                <w:bCs/>
              </w:rPr>
              <w:t>This objective applies to MR-DC, NR-NR DC and CA</w:t>
            </w:r>
          </w:p>
          <w:p>
            <w:pPr>
              <w:numPr>
                <w:ilvl w:val="1"/>
                <w:numId w:val="9"/>
              </w:numPr>
              <w:spacing w:before="120" w:after="0" w:line="280" w:lineRule="atLeast"/>
              <w:ind w:left="867" w:hanging="357"/>
              <w:textAlignment w:val="auto"/>
              <w:rPr>
                <w:rFonts w:ascii="New York" w:hAnsi="New York"/>
                <w:bCs/>
              </w:rPr>
            </w:pPr>
            <w:r>
              <w:rPr>
                <w:rFonts w:ascii="New York" w:hAnsi="New York"/>
                <w:bCs/>
              </w:rPr>
              <w:t>The objective should consider enhancements when starting from IDLE, INACTIVE mode and CONNECTED mode</w:t>
            </w:r>
          </w:p>
        </w:tc>
      </w:tr>
    </w:tbl>
    <w:p>
      <w:pPr>
        <w:rPr>
          <w:lang w:eastAsia="zh-CN"/>
        </w:rPr>
      </w:pPr>
    </w:p>
    <w:p>
      <w:pPr>
        <w:rPr>
          <w:lang w:eastAsia="zh-CN"/>
        </w:rPr>
      </w:pPr>
      <w:r>
        <w:rPr>
          <w:rFonts w:hint="eastAsia"/>
          <w:lang w:eastAsia="zh-CN"/>
        </w:rPr>
        <w:t>D</w:t>
      </w:r>
      <w:r>
        <w:rPr>
          <w:lang w:eastAsia="zh-CN"/>
        </w:rPr>
        <w:t xml:space="preserve">uring </w:t>
      </w:r>
      <w:r>
        <w:rPr>
          <w:rFonts w:hint="eastAsia"/>
          <w:lang w:eastAsia="zh-CN"/>
        </w:rPr>
        <w:t>RAN</w:t>
      </w:r>
      <w:r>
        <w:rPr>
          <w:lang w:eastAsia="zh-CN"/>
        </w:rPr>
        <w:t xml:space="preserve">1#96, one email discussion collected company’s views on this topic </w:t>
      </w:r>
      <w:r>
        <w:rPr>
          <w:lang w:eastAsia="zh-CN"/>
        </w:rPr>
        <w:fldChar w:fldCharType="begin"/>
      </w:r>
      <w:r>
        <w:rPr>
          <w:lang w:eastAsia="zh-CN"/>
        </w:rPr>
        <w:instrText xml:space="preserve"> REF _Ref4573461 \n \h </w:instrText>
      </w:r>
      <w:r>
        <w:rPr>
          <w:lang w:eastAsia="zh-CN"/>
        </w:rPr>
        <w:fldChar w:fldCharType="separate"/>
      </w:r>
      <w:r>
        <w:rPr>
          <w:lang w:eastAsia="zh-CN"/>
        </w:rPr>
        <w:t>[2]</w:t>
      </w:r>
      <w:r>
        <w:rPr>
          <w:lang w:eastAsia="zh-CN"/>
        </w:rPr>
        <w:fldChar w:fldCharType="end"/>
      </w:r>
      <w:r>
        <w:rPr>
          <w:lang w:eastAsia="zh-CN"/>
        </w:rPr>
        <w:t>. In this contribution, we present our analysis and proposals on fast SCell activation.</w:t>
      </w:r>
    </w:p>
    <w:p>
      <w:pPr>
        <w:pStyle w:val="2"/>
        <w:rPr>
          <w:lang w:eastAsia="zh-CN"/>
        </w:rPr>
      </w:pPr>
      <w:r>
        <w:rPr>
          <w:rFonts w:hint="eastAsia"/>
          <w:lang w:eastAsia="zh-CN"/>
        </w:rPr>
        <w:t>T</w:t>
      </w:r>
      <w:r>
        <w:rPr>
          <w:lang w:eastAsia="zh-CN"/>
        </w:rPr>
        <w:t>imeline analysis on SCell activation</w:t>
      </w:r>
    </w:p>
    <w:p>
      <w:pPr>
        <w:rPr>
          <w:lang w:val="en-GB" w:eastAsia="zh-CN"/>
        </w:rPr>
      </w:pPr>
      <w:r>
        <w:rPr>
          <w:lang w:val="en-GB" w:eastAsia="zh-CN"/>
        </w:rPr>
        <w:t>The timeline on SCell activation can be analy</w:t>
      </w:r>
      <w:r>
        <w:rPr>
          <w:rFonts w:hint="eastAsia"/>
          <w:lang w:val="en-US" w:eastAsia="zh-CN"/>
        </w:rPr>
        <w:t>z</w:t>
      </w:r>
      <w:r>
        <w:rPr>
          <w:lang w:val="en-GB" w:eastAsia="zh-CN"/>
        </w:rPr>
        <w:t>ed from RAN1 perspective and RAN4 perspective, respectively.</w:t>
      </w:r>
    </w:p>
    <w:p>
      <w:pPr>
        <w:pStyle w:val="114"/>
        <w:numPr>
          <w:ilvl w:val="0"/>
          <w:numId w:val="10"/>
        </w:numPr>
        <w:rPr>
          <w:b/>
          <w:u w:val="single"/>
          <w:lang w:eastAsia="zh-CN"/>
        </w:rPr>
      </w:pPr>
      <w:r>
        <w:rPr>
          <w:b/>
          <w:u w:val="single"/>
          <w:lang w:eastAsia="zh-CN"/>
        </w:rPr>
        <w:t>RAN4</w:t>
      </w:r>
      <w:bookmarkStart w:id="9" w:name="_GoBack"/>
      <w:bookmarkEnd w:id="9"/>
    </w:p>
    <w:p>
      <w:pPr>
        <w:rPr>
          <w:lang w:val="en-GB" w:eastAsia="zh-CN"/>
        </w:rPr>
      </w:pPr>
      <w:r>
        <w:rPr>
          <w:rFonts w:hint="eastAsia"/>
          <w:lang w:val="en-GB" w:eastAsia="zh-CN"/>
        </w:rPr>
        <w:t>U</w:t>
      </w:r>
      <w:r>
        <w:rPr>
          <w:lang w:val="en-GB" w:eastAsia="zh-CN"/>
        </w:rPr>
        <w:t>pon receiving SCell activation command in slot n, the UE shall be capable to transmit valid CSI report and apply actions related to the activation command for the SCell being activated no later than in slot n + [T</w:t>
      </w:r>
      <w:r>
        <w:rPr>
          <w:vertAlign w:val="subscript"/>
          <w:lang w:val="en-GB" w:eastAsia="zh-CN"/>
        </w:rPr>
        <w:t>HARQ</w:t>
      </w:r>
      <w:r>
        <w:rPr>
          <w:lang w:val="en-GB" w:eastAsia="zh-CN"/>
        </w:rPr>
        <w:t xml:space="preserve"> + T</w:t>
      </w:r>
      <w:r>
        <w:rPr>
          <w:vertAlign w:val="subscript"/>
          <w:lang w:val="en-GB" w:eastAsia="zh-CN"/>
        </w:rPr>
        <w:t>activation_time</w:t>
      </w:r>
      <w:r>
        <w:rPr>
          <w:lang w:val="en-GB" w:eastAsia="zh-CN"/>
        </w:rPr>
        <w:t xml:space="preserve"> + T</w:t>
      </w:r>
      <w:r>
        <w:rPr>
          <w:vertAlign w:val="subscript"/>
          <w:lang w:val="en-GB" w:eastAsia="zh-CN"/>
        </w:rPr>
        <w:t>CSI_Reporting</w:t>
      </w:r>
      <w:r>
        <w:rPr>
          <w:lang w:val="en-GB" w:eastAsia="zh-CN"/>
        </w:rPr>
        <w:t>], where T</w:t>
      </w:r>
      <w:r>
        <w:rPr>
          <w:vertAlign w:val="subscript"/>
          <w:lang w:val="en-GB" w:eastAsia="zh-CN"/>
        </w:rPr>
        <w:t>HARQ</w:t>
      </w:r>
      <w:r>
        <w:rPr>
          <w:lang w:val="en-GB" w:eastAsia="zh-CN"/>
        </w:rPr>
        <w:t xml:space="preserve"> is the timing between DL data transmission and acknowledgement, i.e., </w:t>
      </w:r>
      <m:oMath>
        <m:sSub>
          <m:sSubPr>
            <m:ctrlPr>
              <w:rPr>
                <w:rFonts w:ascii="Cambria Math" w:hAnsi="Cambria Math"/>
                <w:lang w:val="en-GB" w:eastAsia="zh-CN"/>
              </w:rPr>
            </m:ctrlPr>
          </m:sSubPr>
          <m:e>
            <m:r>
              <w:rPr>
                <w:rFonts w:ascii="Cambria Math" w:hAnsi="Cambria Math"/>
                <w:lang w:val="en-GB" w:eastAsia="zh-CN"/>
              </w:rPr>
              <m:t>k</m:t>
            </m:r>
            <m:ctrlPr>
              <w:rPr>
                <w:rFonts w:ascii="Cambria Math" w:hAnsi="Cambria Math"/>
                <w:lang w:val="en-GB" w:eastAsia="zh-CN"/>
              </w:rPr>
            </m:ctrlPr>
          </m:e>
          <m:sub>
            <m:r>
              <w:rPr>
                <w:rFonts w:ascii="Cambria Math" w:hAnsi="Cambria Math"/>
                <w:lang w:val="en-GB" w:eastAsia="zh-CN"/>
              </w:rPr>
              <m:t>1</m:t>
            </m:r>
            <m:ctrlPr>
              <w:rPr>
                <w:rFonts w:ascii="Cambria Math" w:hAnsi="Cambria Math"/>
                <w:lang w:val="en-GB" w:eastAsia="zh-CN"/>
              </w:rPr>
            </m:ctrlPr>
          </m:sub>
        </m:sSub>
        <m:r>
          <w:rPr>
            <w:rFonts w:ascii="Cambria Math" w:hAnsi="Cambria Math"/>
            <w:lang w:val="en-GB" w:eastAsia="zh-CN"/>
          </w:rPr>
          <m:t xml:space="preserve"> </m:t>
        </m:r>
      </m:oMath>
      <w:r>
        <w:rPr>
          <w:lang w:val="en-GB" w:eastAsia="zh-CN"/>
        </w:rPr>
        <w:t xml:space="preserve">as defined in RAN1. According to TS38.331, the potential values for </w:t>
      </w:r>
      <m:oMath>
        <m:sSub>
          <m:sSubPr>
            <m:ctrlPr>
              <w:rPr>
                <w:rFonts w:ascii="Cambria Math" w:hAnsi="Cambria Math"/>
                <w:lang w:val="en-GB" w:eastAsia="zh-CN"/>
              </w:rPr>
            </m:ctrlPr>
          </m:sSubPr>
          <m:e>
            <m:r>
              <w:rPr>
                <w:rFonts w:ascii="Cambria Math" w:hAnsi="Cambria Math"/>
                <w:lang w:val="en-GB" w:eastAsia="zh-CN"/>
              </w:rPr>
              <m:t>k</m:t>
            </m:r>
            <m:ctrlPr>
              <w:rPr>
                <w:rFonts w:ascii="Cambria Math" w:hAnsi="Cambria Math"/>
                <w:lang w:val="en-GB" w:eastAsia="zh-CN"/>
              </w:rPr>
            </m:ctrlPr>
          </m:e>
          <m:sub>
            <m:r>
              <w:rPr>
                <w:rFonts w:ascii="Cambria Math" w:hAnsi="Cambria Math"/>
                <w:lang w:val="en-GB" w:eastAsia="zh-CN"/>
              </w:rPr>
              <m:t>1</m:t>
            </m:r>
            <m:ctrlPr>
              <w:rPr>
                <w:rFonts w:ascii="Cambria Math" w:hAnsi="Cambria Math"/>
                <w:lang w:val="en-GB" w:eastAsia="zh-CN"/>
              </w:rPr>
            </m:ctrlPr>
          </m:sub>
        </m:sSub>
        <m:r>
          <w:rPr>
            <w:rFonts w:ascii="Cambria Math" w:hAnsi="Cambria Math"/>
            <w:lang w:val="en-GB" w:eastAsia="zh-CN"/>
          </w:rPr>
          <m:t xml:space="preserve"> </m:t>
        </m:r>
      </m:oMath>
      <w:r>
        <w:rPr>
          <w:lang w:val="en-GB" w:eastAsia="zh-CN"/>
        </w:rPr>
        <w:t>can be {0</w:t>
      </w:r>
      <w:r>
        <w:rPr>
          <w:rFonts w:hint="eastAsia"/>
          <w:lang w:val="en-GB" w:eastAsia="zh-CN"/>
        </w:rPr>
        <w:t>-</w:t>
      </w:r>
      <w:r>
        <w:rPr>
          <w:lang w:val="en-GB" w:eastAsia="zh-CN"/>
        </w:rPr>
        <w:t xml:space="preserve">15} slots. For simplicity, we assume the typical value of </w:t>
      </w:r>
      <m:oMath>
        <m:sSub>
          <m:sSubPr>
            <m:ctrlPr>
              <w:rPr>
                <w:rFonts w:ascii="Cambria Math" w:hAnsi="Cambria Math"/>
                <w:lang w:val="en-GB" w:eastAsia="zh-CN"/>
              </w:rPr>
            </m:ctrlPr>
          </m:sSubPr>
          <m:e>
            <m:r>
              <w:rPr>
                <w:rFonts w:ascii="Cambria Math" w:hAnsi="Cambria Math"/>
                <w:lang w:val="en-GB" w:eastAsia="zh-CN"/>
              </w:rPr>
              <m:t>k</m:t>
            </m:r>
            <m:ctrlPr>
              <w:rPr>
                <w:rFonts w:ascii="Cambria Math" w:hAnsi="Cambria Math"/>
                <w:lang w:val="en-GB" w:eastAsia="zh-CN"/>
              </w:rPr>
            </m:ctrlPr>
          </m:e>
          <m:sub>
            <m:r>
              <w:rPr>
                <w:rFonts w:ascii="Cambria Math" w:hAnsi="Cambria Math"/>
                <w:lang w:val="en-GB" w:eastAsia="zh-CN"/>
              </w:rPr>
              <m:t>1</m:t>
            </m:r>
            <m:ctrlPr>
              <w:rPr>
                <w:rFonts w:ascii="Cambria Math" w:hAnsi="Cambria Math"/>
                <w:lang w:val="en-GB" w:eastAsia="zh-CN"/>
              </w:rPr>
            </m:ctrlPr>
          </m:sub>
        </m:sSub>
        <m:r>
          <w:rPr>
            <w:rFonts w:ascii="Cambria Math" w:hAnsi="Cambria Math"/>
            <w:lang w:val="en-GB" w:eastAsia="zh-CN"/>
          </w:rPr>
          <m:t xml:space="preserve"> </m:t>
        </m:r>
      </m:oMath>
      <w:r>
        <w:rPr>
          <w:rFonts w:hint="eastAsia"/>
          <w:lang w:val="en-GB" w:eastAsia="zh-CN"/>
        </w:rPr>
        <w:t>i</w:t>
      </w:r>
      <w:r>
        <w:rPr>
          <w:lang w:val="en-GB" w:eastAsia="zh-CN"/>
        </w:rPr>
        <w:t>s 0.5ms.</w:t>
      </w:r>
    </w:p>
    <w:p>
      <w:pPr>
        <w:rPr>
          <w:lang w:val="en-GB" w:eastAsia="zh-CN"/>
        </w:rPr>
      </w:pPr>
      <w:r>
        <w:rPr>
          <w:lang w:val="en-GB" w:eastAsia="zh-CN"/>
        </w:rPr>
        <w:t>T</w:t>
      </w:r>
      <w:r>
        <w:rPr>
          <w:vertAlign w:val="subscript"/>
          <w:lang w:val="en-GB" w:eastAsia="zh-CN"/>
        </w:rPr>
        <w:t>activation_time</w:t>
      </w:r>
      <w:r>
        <w:rPr>
          <w:lang w:val="en-GB" w:eastAsia="zh-CN"/>
        </w:rPr>
        <w:t xml:space="preserve"> is mainly for time-domain and frequency-domain synchronization, RF warm up and AGC adjustment. It largely depends on the frequency range, SCell measurement cycle and whether the SCell is known or unknown. According to TS38.133 and TS38.331, the smallest value for T</w:t>
      </w:r>
      <w:r>
        <w:rPr>
          <w:vertAlign w:val="subscript"/>
          <w:lang w:val="en-GB" w:eastAsia="zh-CN"/>
        </w:rPr>
        <w:t>activation_time</w:t>
      </w:r>
      <w:r>
        <w:rPr>
          <w:lang w:val="en-GB" w:eastAsia="zh-CN"/>
        </w:rPr>
        <w:t xml:space="preserve"> is [T</w:t>
      </w:r>
      <w:r>
        <w:rPr>
          <w:vertAlign w:val="subscript"/>
          <w:lang w:val="en-GB" w:eastAsia="zh-CN"/>
        </w:rPr>
        <w:t>SMTC_SCell</w:t>
      </w:r>
      <w:r>
        <w:rPr>
          <w:lang w:val="en-GB" w:eastAsia="zh-CN"/>
        </w:rPr>
        <w:t xml:space="preserve"> + 5ms] = 10ms when T</w:t>
      </w:r>
      <w:r>
        <w:rPr>
          <w:vertAlign w:val="subscript"/>
          <w:lang w:val="en-GB" w:eastAsia="zh-CN"/>
        </w:rPr>
        <w:t>SMTC_SCell</w:t>
      </w:r>
      <w:r>
        <w:rPr>
          <w:lang w:val="en-GB" w:eastAsia="zh-CN"/>
        </w:rPr>
        <w:t xml:space="preserve"> is configured with the smallest value, i.e., 5ms.</w:t>
      </w:r>
    </w:p>
    <w:p>
      <w:pPr>
        <w:rPr>
          <w:lang w:val="en-GB" w:eastAsia="zh-CN"/>
        </w:rPr>
      </w:pPr>
      <w:r>
        <w:rPr>
          <w:lang w:val="en-GB" w:eastAsia="zh-CN"/>
        </w:rPr>
        <w:t>T</w:t>
      </w:r>
      <w:r>
        <w:rPr>
          <w:vertAlign w:val="subscript"/>
          <w:lang w:val="en-GB" w:eastAsia="zh-CN"/>
        </w:rPr>
        <w:t>CSI_Reporting</w:t>
      </w:r>
      <w:r>
        <w:rPr>
          <w:lang w:val="en-GB" w:eastAsia="zh-CN"/>
        </w:rPr>
        <w:t xml:space="preserve"> is the delay including uncertainty in acquiring the first available downlink CSI reference resource, UE processing time for CSI reporting and uncertainty in acquiring the first available CSI reporting resource. Assume that both periodic CSI-RS and CSI report are configured for a UE both with the smallest periodicity, i.e., 4ms. In this case, the average CSI measurement and reporting delay can be calculated as 0.5*[CSI-RS periodicity + CSI reporting periodicity] = 0.5*[4ms + 4ms] = 4ms.</w:t>
      </w:r>
    </w:p>
    <w:p>
      <w:pPr>
        <w:rPr>
          <w:lang w:val="en-GB" w:eastAsia="zh-CN"/>
        </w:rPr>
      </w:pPr>
      <w:r>
        <w:rPr>
          <w:lang w:val="en-GB" w:eastAsia="zh-CN"/>
        </w:rPr>
        <w:t xml:space="preserve">The SCell activation delay is summarized in </w:t>
      </w:r>
      <w:r>
        <w:rPr>
          <w:lang w:val="en-GB" w:eastAsia="zh-CN"/>
        </w:rPr>
        <w:fldChar w:fldCharType="begin"/>
      </w:r>
      <w:r>
        <w:rPr>
          <w:lang w:val="en-GB" w:eastAsia="zh-CN"/>
        </w:rPr>
        <w:instrText xml:space="preserve"> REF _Ref4579212 \h </w:instrText>
      </w:r>
      <w:r>
        <w:rPr>
          <w:lang w:val="en-GB" w:eastAsia="zh-CN"/>
        </w:rPr>
        <w:fldChar w:fldCharType="separate"/>
      </w:r>
      <w:r>
        <w:t>Table 1</w:t>
      </w:r>
      <w:r>
        <w:rPr>
          <w:lang w:val="en-GB" w:eastAsia="zh-CN"/>
        </w:rPr>
        <w:fldChar w:fldCharType="end"/>
      </w:r>
      <w:r>
        <w:rPr>
          <w:lang w:val="en-GB" w:eastAsia="zh-CN"/>
        </w:rPr>
        <w:t>. From the delay summarization, we can see that T</w:t>
      </w:r>
      <w:r>
        <w:rPr>
          <w:vertAlign w:val="subscript"/>
          <w:lang w:val="en-GB" w:eastAsia="zh-CN"/>
        </w:rPr>
        <w:t>activation_time</w:t>
      </w:r>
      <w:r>
        <w:rPr>
          <w:lang w:val="en-GB" w:eastAsia="zh-CN"/>
        </w:rPr>
        <w:t xml:space="preserve"> and T</w:t>
      </w:r>
      <w:r>
        <w:rPr>
          <w:vertAlign w:val="subscript"/>
          <w:lang w:val="en-GB" w:eastAsia="zh-CN"/>
        </w:rPr>
        <w:t>CSI_Reporting</w:t>
      </w:r>
      <w:r>
        <w:rPr>
          <w:lang w:val="en-GB" w:eastAsia="zh-CN"/>
        </w:rPr>
        <w:t xml:space="preserve"> account for 96.5% of SCell activation delay.</w:t>
      </w:r>
    </w:p>
    <w:p>
      <w:pPr>
        <w:rPr>
          <w:i/>
          <w:lang w:val="en-GB" w:eastAsia="zh-CN"/>
        </w:rPr>
      </w:pPr>
      <w:r>
        <w:rPr>
          <w:b/>
          <w:i/>
          <w:lang w:val="en-GB" w:eastAsia="zh-CN"/>
        </w:rPr>
        <w:t>Observation 1</w:t>
      </w:r>
      <w:r>
        <w:rPr>
          <w:i/>
          <w:lang w:val="en-GB" w:eastAsia="zh-CN"/>
        </w:rPr>
        <w:t>: The following delay accounts for a large portion of SCell activation delay.</w:t>
      </w:r>
    </w:p>
    <w:p>
      <w:pPr>
        <w:pStyle w:val="114"/>
        <w:numPr>
          <w:ilvl w:val="0"/>
          <w:numId w:val="11"/>
        </w:numPr>
        <w:rPr>
          <w:i/>
          <w:lang w:eastAsia="zh-CN"/>
        </w:rPr>
      </w:pPr>
      <w:r>
        <w:rPr>
          <w:i/>
          <w:lang w:eastAsia="zh-CN"/>
        </w:rPr>
        <w:t>Delay for time-domain and frequency-domain synchronization, RF warm up and AGC adjustment;</w:t>
      </w:r>
    </w:p>
    <w:p>
      <w:pPr>
        <w:pStyle w:val="114"/>
        <w:numPr>
          <w:ilvl w:val="0"/>
          <w:numId w:val="11"/>
        </w:numPr>
        <w:rPr>
          <w:i/>
          <w:lang w:eastAsia="zh-CN"/>
        </w:rPr>
      </w:pPr>
      <w:r>
        <w:rPr>
          <w:i/>
          <w:lang w:eastAsia="zh-CN"/>
        </w:rPr>
        <w:t>Delay for CSI-RS measurement and CSI reporting.</w:t>
      </w:r>
    </w:p>
    <w:p>
      <w:pPr>
        <w:pStyle w:val="30"/>
        <w:keepNext/>
        <w:jc w:val="center"/>
      </w:pPr>
      <w:bookmarkStart w:id="3" w:name="_Ref4579212"/>
      <w:r>
        <w:t xml:space="preserve">Table </w:t>
      </w:r>
      <w:r>
        <w:fldChar w:fldCharType="begin"/>
      </w:r>
      <w:r>
        <w:instrText xml:space="preserve"> SEQ Table \* ARABIC </w:instrText>
      </w:r>
      <w:r>
        <w:fldChar w:fldCharType="separate"/>
      </w:r>
      <w:r>
        <w:t>1</w:t>
      </w:r>
      <w:r>
        <w:fldChar w:fldCharType="end"/>
      </w:r>
      <w:bookmarkEnd w:id="3"/>
      <w:r>
        <w:t>. SCell activation delay summarization</w:t>
      </w:r>
    </w:p>
    <w:tbl>
      <w:tblPr>
        <w:tblStyle w:val="59"/>
        <w:tblW w:w="80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40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7" w:type="dxa"/>
          </w:tcPr>
          <w:p>
            <w:pPr>
              <w:keepNext/>
              <w:spacing w:before="0" w:after="0" w:line="240" w:lineRule="auto"/>
              <w:jc w:val="center"/>
              <w:rPr>
                <w:rFonts w:ascii="New York" w:hAnsi="New York"/>
                <w:lang w:val="en-GB" w:eastAsia="zh-CN"/>
              </w:rPr>
            </w:pPr>
            <w:r>
              <w:rPr>
                <w:rFonts w:hint="eastAsia" w:ascii="New York" w:hAnsi="New York"/>
                <w:lang w:val="en-GB" w:eastAsia="zh-CN"/>
              </w:rPr>
              <w:t>D</w:t>
            </w:r>
            <w:r>
              <w:rPr>
                <w:rFonts w:ascii="New York" w:hAnsi="New York"/>
                <w:lang w:val="en-GB" w:eastAsia="zh-CN"/>
              </w:rPr>
              <w:t>elay</w:t>
            </w:r>
          </w:p>
        </w:tc>
        <w:tc>
          <w:tcPr>
            <w:tcW w:w="1400" w:type="dxa"/>
          </w:tcPr>
          <w:p>
            <w:pPr>
              <w:keepNext/>
              <w:spacing w:before="0" w:after="0" w:line="240" w:lineRule="auto"/>
              <w:jc w:val="center"/>
              <w:rPr>
                <w:rFonts w:ascii="New York" w:hAnsi="New York"/>
                <w:lang w:val="en-GB" w:eastAsia="zh-CN"/>
              </w:rPr>
            </w:pPr>
            <w:r>
              <w:rPr>
                <w:rFonts w:hint="eastAsia" w:ascii="New York" w:hAnsi="New York"/>
                <w:lang w:val="en-GB" w:eastAsia="zh-CN"/>
              </w:rPr>
              <w:t>T</w:t>
            </w:r>
            <w:r>
              <w:rPr>
                <w:rFonts w:ascii="New York" w:hAnsi="New York"/>
                <w:lang w:val="en-GB" w:eastAsia="zh-CN"/>
              </w:rPr>
              <w:t>ypical value</w:t>
            </w:r>
          </w:p>
        </w:tc>
        <w:tc>
          <w:tcPr>
            <w:tcW w:w="5528" w:type="dxa"/>
          </w:tcPr>
          <w:p>
            <w:pPr>
              <w:keepNext/>
              <w:spacing w:before="0" w:after="0" w:line="240" w:lineRule="auto"/>
              <w:jc w:val="center"/>
              <w:rPr>
                <w:rFonts w:ascii="New York" w:hAnsi="New York"/>
                <w:lang w:val="en-GB" w:eastAsia="zh-CN"/>
              </w:rPr>
            </w:pPr>
            <w:r>
              <w:rPr>
                <w:rFonts w:hint="eastAsia" w:ascii="New York" w:hAnsi="New York"/>
                <w:lang w:val="en-GB" w:eastAsia="zh-CN"/>
              </w:rPr>
              <w:t>N</w:t>
            </w:r>
            <w:r>
              <w:rPr>
                <w:rFonts w:ascii="New York" w:hAnsi="New York"/>
                <w:lang w:val="en-GB" w:eastAsia="zh-CN"/>
              </w:rPr>
              <w:t>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7" w:type="dxa"/>
          </w:tcPr>
          <w:p>
            <w:pPr>
              <w:keepNext/>
              <w:spacing w:before="0" w:after="0" w:line="240" w:lineRule="auto"/>
              <w:jc w:val="center"/>
              <w:rPr>
                <w:rFonts w:ascii="New York" w:hAnsi="New York"/>
                <w:lang w:val="en-GB" w:eastAsia="zh-CN"/>
              </w:rPr>
            </w:pPr>
            <w:r>
              <w:rPr>
                <w:rFonts w:ascii="New York" w:hAnsi="New York"/>
                <w:lang w:val="en-GB" w:eastAsia="zh-CN"/>
              </w:rPr>
              <w:t>T</w:t>
            </w:r>
            <w:r>
              <w:rPr>
                <w:rFonts w:ascii="New York" w:hAnsi="New York"/>
                <w:vertAlign w:val="subscript"/>
                <w:lang w:val="en-GB" w:eastAsia="zh-CN"/>
              </w:rPr>
              <w:t>HARQ</w:t>
            </w:r>
          </w:p>
        </w:tc>
        <w:tc>
          <w:tcPr>
            <w:tcW w:w="1400" w:type="dxa"/>
          </w:tcPr>
          <w:p>
            <w:pPr>
              <w:keepNext/>
              <w:spacing w:before="0" w:after="0" w:line="240" w:lineRule="auto"/>
              <w:jc w:val="center"/>
              <w:rPr>
                <w:rFonts w:ascii="New York" w:hAnsi="New York"/>
                <w:lang w:val="en-GB" w:eastAsia="zh-CN"/>
              </w:rPr>
            </w:pPr>
            <w:r>
              <w:rPr>
                <w:rFonts w:hint="eastAsia" w:ascii="New York" w:hAnsi="New York"/>
                <w:lang w:val="en-GB" w:eastAsia="zh-CN"/>
              </w:rPr>
              <w:t>0</w:t>
            </w:r>
            <w:r>
              <w:rPr>
                <w:rFonts w:ascii="New York" w:hAnsi="New York"/>
                <w:lang w:val="en-GB" w:eastAsia="zh-CN"/>
              </w:rPr>
              <w:t>.5 ms</w:t>
            </w:r>
          </w:p>
        </w:tc>
        <w:tc>
          <w:tcPr>
            <w:tcW w:w="5528" w:type="dxa"/>
          </w:tcPr>
          <w:p>
            <w:pPr>
              <w:keepNext/>
              <w:spacing w:before="0" w:after="0" w:line="240" w:lineRule="auto"/>
              <w:rPr>
                <w:rFonts w:ascii="New York" w:hAnsi="New York"/>
                <w:lang w:val="en-GB" w:eastAsia="zh-CN"/>
              </w:rPr>
            </w:pPr>
            <w:r>
              <w:rPr>
                <w:rFonts w:ascii="New York" w:hAnsi="New York"/>
                <w:lang w:val="en-GB" w:eastAsia="zh-CN"/>
              </w:rPr>
              <w:t xml:space="preserve">Timing between DL data transmission and acknowledgement, i.e., </w:t>
            </w:r>
            <m:oMath>
              <m:sSub>
                <m:sSubPr>
                  <m:ctrlPr>
                    <w:rPr>
                      <w:rFonts w:ascii="Cambria Math" w:hAnsi="Cambria Math"/>
                      <w:lang w:val="en-GB" w:eastAsia="zh-CN"/>
                    </w:rPr>
                  </m:ctrlPr>
                </m:sSubPr>
                <m:e>
                  <m:r>
                    <w:rPr>
                      <w:rFonts w:ascii="Cambria Math" w:hAnsi="Cambria Math"/>
                      <w:lang w:val="en-GB" w:eastAsia="zh-CN"/>
                    </w:rPr>
                    <m:t>k</m:t>
                  </m:r>
                  <m:ctrlPr>
                    <w:rPr>
                      <w:rFonts w:ascii="Cambria Math" w:hAnsi="Cambria Math"/>
                      <w:lang w:val="en-GB" w:eastAsia="zh-CN"/>
                    </w:rPr>
                  </m:ctrlPr>
                </m:e>
                <m:sub>
                  <m:r>
                    <w:rPr>
                      <w:rFonts w:ascii="Cambria Math" w:hAnsi="Cambria Math"/>
                      <w:lang w:val="en-GB" w:eastAsia="zh-CN"/>
                    </w:rPr>
                    <m:t>1</m:t>
                  </m:r>
                  <m:ctrlPr>
                    <w:rPr>
                      <w:rFonts w:ascii="Cambria Math" w:hAnsi="Cambria Math"/>
                      <w:lang w:val="en-GB" w:eastAsia="zh-CN"/>
                    </w:rPr>
                  </m:ctrlPr>
                </m:sub>
              </m:sSub>
              <m:r>
                <w:rPr>
                  <w:rFonts w:ascii="Cambria Math" w:hAnsi="Cambria Math"/>
                  <w:lang w:val="en-GB" w:eastAsia="zh-CN"/>
                </w:rPr>
                <m:t xml:space="preserve"> </m:t>
              </m:r>
            </m:oMath>
            <w:r>
              <w:rPr>
                <w:rFonts w:ascii="New York" w:hAnsi="New York"/>
                <w:lang w:val="en-GB" w:eastAsia="zh-CN"/>
              </w:rPr>
              <w:t>as defined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7" w:type="dxa"/>
          </w:tcPr>
          <w:p>
            <w:pPr>
              <w:keepNext/>
              <w:spacing w:before="0" w:after="0" w:line="240" w:lineRule="auto"/>
              <w:jc w:val="center"/>
              <w:rPr>
                <w:rFonts w:ascii="New York" w:hAnsi="New York"/>
                <w:lang w:val="en-GB" w:eastAsia="zh-CN"/>
              </w:rPr>
            </w:pPr>
            <w:r>
              <w:rPr>
                <w:rFonts w:ascii="New York" w:hAnsi="New York"/>
                <w:lang w:val="en-GB" w:eastAsia="zh-CN"/>
              </w:rPr>
              <w:t>T</w:t>
            </w:r>
            <w:r>
              <w:rPr>
                <w:rFonts w:ascii="New York" w:hAnsi="New York"/>
                <w:vertAlign w:val="subscript"/>
                <w:lang w:val="en-GB" w:eastAsia="zh-CN"/>
              </w:rPr>
              <w:t>activation_time</w:t>
            </w:r>
          </w:p>
        </w:tc>
        <w:tc>
          <w:tcPr>
            <w:tcW w:w="1400" w:type="dxa"/>
          </w:tcPr>
          <w:p>
            <w:pPr>
              <w:keepNext/>
              <w:spacing w:before="0" w:after="0" w:line="240" w:lineRule="auto"/>
              <w:jc w:val="center"/>
              <w:rPr>
                <w:rFonts w:ascii="New York" w:hAnsi="New York"/>
                <w:lang w:val="en-GB" w:eastAsia="zh-CN"/>
              </w:rPr>
            </w:pPr>
            <w:r>
              <w:rPr>
                <w:rFonts w:hint="eastAsia" w:ascii="New York" w:hAnsi="New York"/>
                <w:lang w:val="en-GB" w:eastAsia="zh-CN"/>
              </w:rPr>
              <w:t>1</w:t>
            </w:r>
            <w:r>
              <w:rPr>
                <w:rFonts w:ascii="New York" w:hAnsi="New York"/>
                <w:lang w:val="en-GB" w:eastAsia="zh-CN"/>
              </w:rPr>
              <w:t>0 ms</w:t>
            </w:r>
          </w:p>
        </w:tc>
        <w:tc>
          <w:tcPr>
            <w:tcW w:w="5528" w:type="dxa"/>
          </w:tcPr>
          <w:p>
            <w:pPr>
              <w:keepNext/>
              <w:spacing w:before="0" w:after="0" w:line="240" w:lineRule="auto"/>
              <w:rPr>
                <w:rFonts w:ascii="New York" w:hAnsi="New York"/>
                <w:lang w:val="en-GB" w:eastAsia="zh-CN"/>
              </w:rPr>
            </w:pPr>
            <w:r>
              <w:rPr>
                <w:rFonts w:hint="eastAsia" w:ascii="New York" w:hAnsi="New York"/>
                <w:lang w:val="en-GB" w:eastAsia="zh-CN"/>
              </w:rPr>
              <w:t>D</w:t>
            </w:r>
            <w:r>
              <w:rPr>
                <w:rFonts w:ascii="New York" w:hAnsi="New York"/>
                <w:lang w:val="en-GB" w:eastAsia="zh-CN"/>
              </w:rPr>
              <w:t>elay for time-domain and frequency-domain synchronization, RF warm up and AGC adjustment. 10ms is the minimum delay for this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7" w:type="dxa"/>
          </w:tcPr>
          <w:p>
            <w:pPr>
              <w:keepNext/>
              <w:spacing w:before="0" w:after="0" w:line="240" w:lineRule="auto"/>
              <w:jc w:val="center"/>
              <w:rPr>
                <w:rFonts w:ascii="New York" w:hAnsi="New York"/>
                <w:lang w:val="en-GB" w:eastAsia="zh-CN"/>
              </w:rPr>
            </w:pPr>
            <w:r>
              <w:rPr>
                <w:rFonts w:ascii="New York" w:hAnsi="New York"/>
                <w:lang w:val="en-GB" w:eastAsia="zh-CN"/>
              </w:rPr>
              <w:t>T</w:t>
            </w:r>
            <w:r>
              <w:rPr>
                <w:rFonts w:ascii="New York" w:hAnsi="New York"/>
                <w:vertAlign w:val="subscript"/>
                <w:lang w:val="en-GB" w:eastAsia="zh-CN"/>
              </w:rPr>
              <w:t>CSI_Reporting</w:t>
            </w:r>
          </w:p>
        </w:tc>
        <w:tc>
          <w:tcPr>
            <w:tcW w:w="1400" w:type="dxa"/>
          </w:tcPr>
          <w:p>
            <w:pPr>
              <w:keepNext/>
              <w:spacing w:before="0" w:after="0" w:line="240" w:lineRule="auto"/>
              <w:jc w:val="center"/>
              <w:rPr>
                <w:rFonts w:ascii="New York" w:hAnsi="New York"/>
                <w:lang w:val="en-GB" w:eastAsia="zh-CN"/>
              </w:rPr>
            </w:pPr>
            <w:r>
              <w:rPr>
                <w:rFonts w:hint="eastAsia" w:ascii="New York" w:hAnsi="New York"/>
                <w:lang w:val="en-GB" w:eastAsia="zh-CN"/>
              </w:rPr>
              <w:t>4</w:t>
            </w:r>
            <w:r>
              <w:rPr>
                <w:rFonts w:ascii="New York" w:hAnsi="New York"/>
                <w:lang w:val="en-GB" w:eastAsia="zh-CN"/>
              </w:rPr>
              <w:t xml:space="preserve"> ms</w:t>
            </w:r>
          </w:p>
        </w:tc>
        <w:tc>
          <w:tcPr>
            <w:tcW w:w="5528" w:type="dxa"/>
          </w:tcPr>
          <w:p>
            <w:pPr>
              <w:keepNext/>
              <w:spacing w:before="0" w:after="0" w:line="240" w:lineRule="auto"/>
              <w:rPr>
                <w:rFonts w:ascii="New York" w:hAnsi="New York"/>
                <w:lang w:val="en-GB" w:eastAsia="zh-CN"/>
              </w:rPr>
            </w:pPr>
            <w:r>
              <w:rPr>
                <w:rFonts w:ascii="New York" w:hAnsi="New York"/>
                <w:lang w:val="en-GB" w:eastAsia="zh-CN"/>
              </w:rPr>
              <w:t>Delay for CSI-RS measurement and CSI reporting.</w:t>
            </w:r>
          </w:p>
          <w:p>
            <w:pPr>
              <w:keepNext/>
              <w:spacing w:before="0" w:after="0" w:line="240" w:lineRule="auto"/>
              <w:rPr>
                <w:rFonts w:ascii="New York" w:hAnsi="New York"/>
                <w:lang w:val="en-GB" w:eastAsia="zh-CN"/>
              </w:rPr>
            </w:pPr>
            <w:r>
              <w:rPr>
                <w:rFonts w:ascii="New York" w:hAnsi="New York"/>
                <w:lang w:val="en-GB" w:eastAsia="zh-CN"/>
              </w:rPr>
              <w:t>Assume that the smallest periodicity of periodic CSI-RS and CSI reporting resource are configured, i.e., 4 ms. The average value is calculated as T</w:t>
            </w:r>
            <w:r>
              <w:rPr>
                <w:rFonts w:ascii="New York" w:hAnsi="New York"/>
                <w:vertAlign w:val="subscript"/>
                <w:lang w:val="en-GB" w:eastAsia="zh-CN"/>
              </w:rPr>
              <w:t>CSI_Reporting</w:t>
            </w:r>
            <w:r>
              <w:rPr>
                <w:rFonts w:ascii="New York" w:hAnsi="New York"/>
                <w:lang w:val="en-GB" w:eastAsia="zh-CN"/>
              </w:rPr>
              <w:t xml:space="preserve"> = 0.5*[CSI-RS periodicity + CSI reporting periodicity].</w:t>
            </w:r>
          </w:p>
        </w:tc>
      </w:tr>
    </w:tbl>
    <w:p>
      <w:pPr>
        <w:rPr>
          <w:lang w:val="en-GB" w:eastAsia="zh-CN"/>
        </w:rPr>
      </w:pPr>
    </w:p>
    <w:p>
      <w:pPr>
        <w:pStyle w:val="114"/>
        <w:numPr>
          <w:ilvl w:val="0"/>
          <w:numId w:val="10"/>
        </w:numPr>
        <w:rPr>
          <w:b/>
          <w:u w:val="single"/>
          <w:lang w:eastAsia="zh-CN"/>
        </w:rPr>
      </w:pPr>
      <w:r>
        <w:rPr>
          <w:b/>
          <w:u w:val="single"/>
          <w:lang w:eastAsia="zh-CN"/>
        </w:rPr>
        <w:t>RAN1</w:t>
      </w:r>
    </w:p>
    <w:p>
      <w:pPr>
        <w:rPr>
          <w:lang w:val="en-GB" w:eastAsia="zh-CN"/>
        </w:rPr>
      </w:pPr>
      <w:r>
        <w:rPr>
          <w:lang w:val="en-GB" w:eastAsia="zh-CN"/>
        </w:rPr>
        <w:t xml:space="preserve">From RAN1 perspective, RAN1 defines the earliest time when a UE can start activating the indicated SCell. </w:t>
      </w:r>
      <w:r>
        <w:rPr>
          <w:rFonts w:hint="eastAsia"/>
          <w:lang w:val="en-GB" w:eastAsia="zh-CN"/>
        </w:rPr>
        <w:t>A</w:t>
      </w:r>
      <w:r>
        <w:rPr>
          <w:lang w:val="en-GB" w:eastAsia="zh-CN"/>
        </w:rPr>
        <w:t xml:space="preserve">ccording to TS38.213, when a UE receives an activation command in a PDSCH for a secondary cell in slot n, the UE applies the corresponding actions as defined in TS38.321 no later than the minimum requirement defined in TS38.133 and no earlier than slot n+k. The value k is </w:t>
      </w:r>
      <m:oMath>
        <m:sSub>
          <m:sSubPr>
            <m:ctrlPr>
              <w:rPr>
                <w:rFonts w:ascii="Cambria Math" w:hAnsi="Cambria Math"/>
                <w:lang w:val="en-GB" w:eastAsia="zh-CN"/>
              </w:rPr>
            </m:ctrlPr>
          </m:sSubPr>
          <m:e>
            <m:r>
              <w:rPr>
                <w:rFonts w:ascii="Cambria Math" w:hAnsi="Cambria Math"/>
                <w:lang w:val="en-GB" w:eastAsia="zh-CN"/>
              </w:rPr>
              <m:t>k</m:t>
            </m:r>
            <m:ctrlPr>
              <w:rPr>
                <w:rFonts w:ascii="Cambria Math" w:hAnsi="Cambria Math"/>
                <w:lang w:val="en-GB" w:eastAsia="zh-CN"/>
              </w:rPr>
            </m:ctrlPr>
          </m:e>
          <m:sub>
            <m:r>
              <w:rPr>
                <w:rFonts w:ascii="Cambria Math" w:hAnsi="Cambria Math"/>
                <w:lang w:val="en-GB" w:eastAsia="zh-CN"/>
              </w:rPr>
              <m:t>1</m:t>
            </m:r>
            <m:ctrlPr>
              <w:rPr>
                <w:rFonts w:ascii="Cambria Math" w:hAnsi="Cambria Math"/>
                <w:lang w:val="en-GB" w:eastAsia="zh-CN"/>
              </w:rPr>
            </m:ctrlPr>
          </m:sub>
        </m:sSub>
        <m:r>
          <w:rPr>
            <w:rFonts w:ascii="Cambria Math" w:hAnsi="Cambria Math"/>
            <w:lang w:val="en-GB" w:eastAsia="zh-CN"/>
          </w:rPr>
          <m:t>+3∙</m:t>
        </m:r>
        <m:sSubSup>
          <m:sSubSupPr>
            <m:ctrlPr>
              <w:rPr>
                <w:rFonts w:ascii="Cambria Math" w:hAnsi="Cambria Math"/>
                <w:i/>
                <w:lang w:val="en-GB" w:eastAsia="zh-CN"/>
              </w:rPr>
            </m:ctrlPr>
          </m:sSubSupPr>
          <m:e>
            <m:r>
              <w:rPr>
                <w:rFonts w:ascii="Cambria Math" w:hAnsi="Cambria Math"/>
                <w:lang w:val="en-GB" w:eastAsia="zh-CN"/>
              </w:rPr>
              <m:t>N</m:t>
            </m:r>
            <m:ctrlPr>
              <w:rPr>
                <w:rFonts w:ascii="Cambria Math" w:hAnsi="Cambria Math"/>
                <w:i/>
                <w:lang w:val="en-GB" w:eastAsia="zh-CN"/>
              </w:rPr>
            </m:ctrlPr>
          </m:e>
          <m:sub>
            <m:r>
              <w:rPr>
                <w:rFonts w:ascii="Cambria Math" w:hAnsi="Cambria Math"/>
                <w:lang w:val="en-GB" w:eastAsia="zh-CN"/>
              </w:rPr>
              <m:t>slot</m:t>
            </m:r>
            <m:ctrlPr>
              <w:rPr>
                <w:rFonts w:ascii="Cambria Math" w:hAnsi="Cambria Math"/>
                <w:i/>
                <w:lang w:val="en-GB" w:eastAsia="zh-CN"/>
              </w:rPr>
            </m:ctrlPr>
          </m:sub>
          <m:sup>
            <m:r>
              <w:rPr>
                <w:rFonts w:ascii="Cambria Math" w:hAnsi="Cambria Math"/>
                <w:lang w:val="en-GB" w:eastAsia="zh-CN"/>
              </w:rPr>
              <m:t>subframe,u</m:t>
            </m:r>
            <m:ctrlPr>
              <w:rPr>
                <w:rFonts w:ascii="Cambria Math" w:hAnsi="Cambria Math"/>
                <w:i/>
                <w:lang w:val="en-GB" w:eastAsia="zh-CN"/>
              </w:rPr>
            </m:ctrlPr>
          </m:sup>
        </m:sSubSup>
        <m:r>
          <w:rPr>
            <w:rFonts w:ascii="Cambria Math" w:hAnsi="Cambria Math"/>
            <w:lang w:val="en-GB" w:eastAsia="zh-CN"/>
          </w:rPr>
          <m:t>+1</m:t>
        </m:r>
      </m:oMath>
      <w:r>
        <w:rPr>
          <w:rFonts w:hint="eastAsia"/>
          <w:lang w:val="en-GB" w:eastAsia="zh-CN"/>
        </w:rPr>
        <w:t xml:space="preserve"> </w:t>
      </w:r>
      <w:r>
        <w:rPr>
          <w:lang w:val="en-GB" w:eastAsia="zh-CN"/>
        </w:rPr>
        <w:t xml:space="preserve">where </w:t>
      </w:r>
      <m:oMath>
        <m:sSub>
          <m:sSubPr>
            <m:ctrlPr>
              <w:rPr>
                <w:rFonts w:ascii="Cambria Math" w:hAnsi="Cambria Math"/>
                <w:lang w:val="en-GB" w:eastAsia="zh-CN"/>
              </w:rPr>
            </m:ctrlPr>
          </m:sSubPr>
          <m:e>
            <m:r>
              <w:rPr>
                <w:rFonts w:ascii="Cambria Math" w:hAnsi="Cambria Math"/>
                <w:lang w:val="en-GB" w:eastAsia="zh-CN"/>
              </w:rPr>
              <m:t>k</m:t>
            </m:r>
            <m:ctrlPr>
              <w:rPr>
                <w:rFonts w:ascii="Cambria Math" w:hAnsi="Cambria Math"/>
                <w:lang w:val="en-GB" w:eastAsia="zh-CN"/>
              </w:rPr>
            </m:ctrlPr>
          </m:e>
          <m:sub>
            <m:r>
              <w:rPr>
                <w:rFonts w:ascii="Cambria Math" w:hAnsi="Cambria Math"/>
                <w:lang w:val="en-GB" w:eastAsia="zh-CN"/>
              </w:rPr>
              <m:t>1</m:t>
            </m:r>
            <m:ctrlPr>
              <w:rPr>
                <w:rFonts w:ascii="Cambria Math" w:hAnsi="Cambria Math"/>
                <w:lang w:val="en-GB" w:eastAsia="zh-CN"/>
              </w:rPr>
            </m:ctrlPr>
          </m:sub>
        </m:sSub>
      </m:oMath>
      <w:r>
        <w:rPr>
          <w:rFonts w:hint="eastAsia"/>
          <w:lang w:val="en-GB" w:eastAsia="zh-CN"/>
        </w:rPr>
        <w:t xml:space="preserve"> </w:t>
      </w:r>
      <w:r>
        <w:rPr>
          <w:lang w:val="en-GB" w:eastAsia="zh-CN"/>
        </w:rPr>
        <w:t xml:space="preserve">is a number of slots for a PUCCH transmission with HARQ-ACK information for the PDSCH reception and </w:t>
      </w:r>
      <m:oMath>
        <m:sSubSup>
          <m:sSubSupPr>
            <m:ctrlPr>
              <w:rPr>
                <w:rFonts w:ascii="Cambria Math" w:hAnsi="Cambria Math"/>
                <w:i/>
                <w:lang w:val="en-GB" w:eastAsia="zh-CN"/>
              </w:rPr>
            </m:ctrlPr>
          </m:sSubSupPr>
          <m:e>
            <m:r>
              <w:rPr>
                <w:rFonts w:ascii="Cambria Math" w:hAnsi="Cambria Math"/>
                <w:lang w:val="en-GB" w:eastAsia="zh-CN"/>
              </w:rPr>
              <m:t>N</m:t>
            </m:r>
            <m:ctrlPr>
              <w:rPr>
                <w:rFonts w:ascii="Cambria Math" w:hAnsi="Cambria Math"/>
                <w:i/>
                <w:lang w:val="en-GB" w:eastAsia="zh-CN"/>
              </w:rPr>
            </m:ctrlPr>
          </m:e>
          <m:sub>
            <m:r>
              <w:rPr>
                <w:rFonts w:ascii="Cambria Math" w:hAnsi="Cambria Math"/>
                <w:lang w:val="en-GB" w:eastAsia="zh-CN"/>
              </w:rPr>
              <m:t>slot</m:t>
            </m:r>
            <m:ctrlPr>
              <w:rPr>
                <w:rFonts w:ascii="Cambria Math" w:hAnsi="Cambria Math"/>
                <w:i/>
                <w:lang w:val="en-GB" w:eastAsia="zh-CN"/>
              </w:rPr>
            </m:ctrlPr>
          </m:sub>
          <m:sup>
            <m:r>
              <w:rPr>
                <w:rFonts w:ascii="Cambria Math" w:hAnsi="Cambria Math"/>
                <w:lang w:val="en-GB" w:eastAsia="zh-CN"/>
              </w:rPr>
              <m:t>subframe,u</m:t>
            </m:r>
            <m:ctrlPr>
              <w:rPr>
                <w:rFonts w:ascii="Cambria Math" w:hAnsi="Cambria Math"/>
                <w:i/>
                <w:lang w:val="en-GB" w:eastAsia="zh-CN"/>
              </w:rPr>
            </m:ctrlPr>
          </m:sup>
        </m:sSubSup>
      </m:oMath>
      <w:r>
        <w:rPr>
          <w:rFonts w:hint="eastAsia"/>
          <w:lang w:val="en-GB" w:eastAsia="zh-CN"/>
        </w:rPr>
        <w:t xml:space="preserve"> </w:t>
      </w:r>
      <w:r>
        <w:rPr>
          <w:lang w:val="en-GB" w:eastAsia="zh-CN"/>
        </w:rPr>
        <w:t xml:space="preserve">is a number of slots per subframe for the SCS configuration </w:t>
      </w:r>
      <m:oMath>
        <m:r>
          <m:rPr>
            <m:sty m:val="p"/>
          </m:rPr>
          <w:rPr>
            <w:rFonts w:ascii="Cambria Math" w:hAnsi="Cambria Math"/>
            <w:lang w:val="en-GB" w:eastAsia="zh-CN"/>
          </w:rPr>
          <m:t>μ</m:t>
        </m:r>
      </m:oMath>
      <w:r>
        <w:rPr>
          <w:rFonts w:hint="eastAsia"/>
          <w:lang w:val="en-GB" w:eastAsia="zh-CN"/>
        </w:rPr>
        <w:t xml:space="preserve"> </w:t>
      </w:r>
      <w:r>
        <w:rPr>
          <w:lang w:val="en-GB" w:eastAsia="zh-CN"/>
        </w:rPr>
        <w:t xml:space="preserve">of the PDCCH transmission. </w:t>
      </w:r>
      <m:oMath>
        <m:sSub>
          <m:sSubPr>
            <m:ctrlPr>
              <w:rPr>
                <w:rFonts w:ascii="Cambria Math" w:hAnsi="Cambria Math"/>
                <w:lang w:val="en-GB" w:eastAsia="zh-CN"/>
              </w:rPr>
            </m:ctrlPr>
          </m:sSubPr>
          <m:e>
            <m:r>
              <w:rPr>
                <w:rFonts w:ascii="Cambria Math" w:hAnsi="Cambria Math"/>
                <w:lang w:val="en-GB" w:eastAsia="zh-CN"/>
              </w:rPr>
              <m:t>k</m:t>
            </m:r>
            <m:ctrlPr>
              <w:rPr>
                <w:rFonts w:ascii="Cambria Math" w:hAnsi="Cambria Math"/>
                <w:lang w:val="en-GB" w:eastAsia="zh-CN"/>
              </w:rPr>
            </m:ctrlPr>
          </m:e>
          <m:sub>
            <m:r>
              <w:rPr>
                <w:rFonts w:ascii="Cambria Math" w:hAnsi="Cambria Math"/>
                <w:lang w:val="en-GB" w:eastAsia="zh-CN"/>
              </w:rPr>
              <m:t>1</m:t>
            </m:r>
            <m:ctrlPr>
              <w:rPr>
                <w:rFonts w:ascii="Cambria Math" w:hAnsi="Cambria Math"/>
                <w:lang w:val="en-GB" w:eastAsia="zh-CN"/>
              </w:rPr>
            </m:ctrlPr>
          </m:sub>
        </m:sSub>
      </m:oMath>
      <w:r>
        <w:rPr>
          <w:rFonts w:hint="eastAsia"/>
          <w:lang w:val="en-GB" w:eastAsia="zh-CN"/>
        </w:rPr>
        <w:t xml:space="preserve"> </w:t>
      </w:r>
      <w:r>
        <w:rPr>
          <w:lang w:val="en-GB" w:eastAsia="zh-CN"/>
        </w:rPr>
        <w:t xml:space="preserve">is the L1 PDSCH processing delay. </w:t>
      </w:r>
      <m:oMath>
        <m:r>
          <w:rPr>
            <w:rFonts w:ascii="Cambria Math" w:hAnsi="Cambria Math"/>
            <w:lang w:val="en-GB" w:eastAsia="zh-CN"/>
          </w:rPr>
          <m:t>3∙</m:t>
        </m:r>
        <m:sSubSup>
          <m:sSubSupPr>
            <m:ctrlPr>
              <w:rPr>
                <w:rFonts w:ascii="Cambria Math" w:hAnsi="Cambria Math"/>
                <w:i/>
                <w:lang w:val="en-GB" w:eastAsia="zh-CN"/>
              </w:rPr>
            </m:ctrlPr>
          </m:sSubSupPr>
          <m:e>
            <m:r>
              <w:rPr>
                <w:rFonts w:ascii="Cambria Math" w:hAnsi="Cambria Math"/>
                <w:lang w:val="en-GB" w:eastAsia="zh-CN"/>
              </w:rPr>
              <m:t>N</m:t>
            </m:r>
            <m:ctrlPr>
              <w:rPr>
                <w:rFonts w:ascii="Cambria Math" w:hAnsi="Cambria Math"/>
                <w:i/>
                <w:lang w:val="en-GB" w:eastAsia="zh-CN"/>
              </w:rPr>
            </m:ctrlPr>
          </m:e>
          <m:sub>
            <m:r>
              <w:rPr>
                <w:rFonts w:ascii="Cambria Math" w:hAnsi="Cambria Math"/>
                <w:lang w:val="en-GB" w:eastAsia="zh-CN"/>
              </w:rPr>
              <m:t>slot</m:t>
            </m:r>
            <m:ctrlPr>
              <w:rPr>
                <w:rFonts w:ascii="Cambria Math" w:hAnsi="Cambria Math"/>
                <w:i/>
                <w:lang w:val="en-GB" w:eastAsia="zh-CN"/>
              </w:rPr>
            </m:ctrlPr>
          </m:sub>
          <m:sup>
            <m:r>
              <w:rPr>
                <w:rFonts w:ascii="Cambria Math" w:hAnsi="Cambria Math"/>
                <w:lang w:val="en-GB" w:eastAsia="zh-CN"/>
              </w:rPr>
              <m:t>subframe,u</m:t>
            </m:r>
            <m:ctrlPr>
              <w:rPr>
                <w:rFonts w:ascii="Cambria Math" w:hAnsi="Cambria Math"/>
                <w:i/>
                <w:lang w:val="en-GB" w:eastAsia="zh-CN"/>
              </w:rPr>
            </m:ctrlPr>
          </m:sup>
        </m:sSubSup>
      </m:oMath>
      <w:r>
        <w:rPr>
          <w:lang w:val="en-GB" w:eastAsia="zh-CN"/>
        </w:rPr>
        <w:t xml:space="preserve"> (i.e., 3ms) contains the L2 processing delay and RF warm up delay. </w:t>
      </w:r>
    </w:p>
    <w:p>
      <w:pPr>
        <w:rPr>
          <w:lang w:val="en-GB" w:eastAsia="zh-CN"/>
        </w:rPr>
      </w:pPr>
      <w:r>
        <w:rPr>
          <w:rFonts w:hint="eastAsia"/>
          <w:lang w:val="en-GB" w:eastAsia="zh-CN"/>
        </w:rPr>
        <w:t>S</w:t>
      </w:r>
      <w:r>
        <w:rPr>
          <w:lang w:val="en-GB" w:eastAsia="zh-CN"/>
        </w:rPr>
        <w:t xml:space="preserve">ince </w:t>
      </w:r>
      <m:oMath>
        <m:r>
          <w:rPr>
            <w:rFonts w:ascii="Cambria Math" w:hAnsi="Cambria Math"/>
            <w:lang w:val="en-GB" w:eastAsia="zh-CN"/>
          </w:rPr>
          <m:t>3∙</m:t>
        </m:r>
        <m:sSubSup>
          <m:sSubSupPr>
            <m:ctrlPr>
              <w:rPr>
                <w:rFonts w:ascii="Cambria Math" w:hAnsi="Cambria Math"/>
                <w:i/>
                <w:lang w:val="en-GB" w:eastAsia="zh-CN"/>
              </w:rPr>
            </m:ctrlPr>
          </m:sSubSupPr>
          <m:e>
            <m:r>
              <w:rPr>
                <w:rFonts w:ascii="Cambria Math" w:hAnsi="Cambria Math"/>
                <w:lang w:val="en-GB" w:eastAsia="zh-CN"/>
              </w:rPr>
              <m:t>N</m:t>
            </m:r>
            <m:ctrlPr>
              <w:rPr>
                <w:rFonts w:ascii="Cambria Math" w:hAnsi="Cambria Math"/>
                <w:i/>
                <w:lang w:val="en-GB" w:eastAsia="zh-CN"/>
              </w:rPr>
            </m:ctrlPr>
          </m:e>
          <m:sub>
            <m:r>
              <w:rPr>
                <w:rFonts w:ascii="Cambria Math" w:hAnsi="Cambria Math"/>
                <w:lang w:val="en-GB" w:eastAsia="zh-CN"/>
              </w:rPr>
              <m:t>slot</m:t>
            </m:r>
            <m:ctrlPr>
              <w:rPr>
                <w:rFonts w:ascii="Cambria Math" w:hAnsi="Cambria Math"/>
                <w:i/>
                <w:lang w:val="en-GB" w:eastAsia="zh-CN"/>
              </w:rPr>
            </m:ctrlPr>
          </m:sub>
          <m:sup>
            <m:r>
              <w:rPr>
                <w:rFonts w:ascii="Cambria Math" w:hAnsi="Cambria Math"/>
                <w:lang w:val="en-GB" w:eastAsia="zh-CN"/>
              </w:rPr>
              <m:t>subframe,u</m:t>
            </m:r>
            <m:ctrlPr>
              <w:rPr>
                <w:rFonts w:ascii="Cambria Math" w:hAnsi="Cambria Math"/>
                <w:i/>
                <w:lang w:val="en-GB" w:eastAsia="zh-CN"/>
              </w:rPr>
            </m:ctrlPr>
          </m:sup>
        </m:sSubSup>
      </m:oMath>
      <w:r>
        <w:rPr>
          <w:lang w:val="en-GB" w:eastAsia="zh-CN"/>
        </w:rPr>
        <w:t xml:space="preserve"> (i.e., 3ms) mainly contains L2 processing delay and RF warm up delay, it’s not clear how much time delay is needed for L2 processing. However, according to Section 4.2 of TS38.213, the MAC CE processing delay of TA command has been agreed as 0.5ms. From this perspective, we assume that the L2 processing delay for SCell activation command is about 0.5ms. The L2 processing delay only contributes about 3.5% to the total SCell activation delay. </w:t>
      </w:r>
    </w:p>
    <w:p>
      <w:pPr>
        <w:rPr>
          <w:lang w:val="en-GB" w:eastAsia="zh-CN"/>
        </w:rPr>
      </w:pPr>
      <w:r>
        <w:rPr>
          <w:lang w:val="en-GB" w:eastAsia="zh-CN"/>
        </w:rPr>
        <w:t>Assume that L1 signalling is used to activate the SCell, then the L2 processing time, i.e., 0.5ms can be eliminated. However, the gain of adopting L1 signalling instead of MAC CE to activate SCell is marginal. Thus, there is no need to introduce the L1 signalling to activate SCell.</w:t>
      </w:r>
    </w:p>
    <w:p>
      <w:pPr>
        <w:rPr>
          <w:i/>
          <w:lang w:eastAsia="zh-CN"/>
        </w:rPr>
      </w:pPr>
      <w:r>
        <w:rPr>
          <w:rFonts w:hint="eastAsia"/>
          <w:b/>
          <w:i/>
          <w:lang w:val="en-GB" w:eastAsia="zh-CN"/>
        </w:rPr>
        <w:t>O</w:t>
      </w:r>
      <w:r>
        <w:rPr>
          <w:b/>
          <w:i/>
          <w:lang w:val="en-GB" w:eastAsia="zh-CN"/>
        </w:rPr>
        <w:t>bservation 2</w:t>
      </w:r>
      <w:r>
        <w:rPr>
          <w:i/>
          <w:lang w:val="en-GB" w:eastAsia="zh-CN"/>
        </w:rPr>
        <w:t>: L2 processing delay only contributes about 3.5% to the total SCell activation delay. The gain of adopting L1 signalling instead of MAC CE to activate SCell is marginal</w:t>
      </w:r>
      <w:r>
        <w:rPr>
          <w:rFonts w:hint="eastAsia"/>
          <w:i/>
          <w:lang w:eastAsia="zh-CN"/>
        </w:rPr>
        <w:t>.</w:t>
      </w:r>
    </w:p>
    <w:p>
      <w:pPr>
        <w:rPr>
          <w:i/>
          <w:lang w:val="en-GB" w:eastAsia="zh-CN"/>
        </w:rPr>
      </w:pPr>
      <w:r>
        <w:rPr>
          <w:b/>
          <w:i/>
          <w:lang w:val="en-GB" w:eastAsia="zh-CN"/>
        </w:rPr>
        <w:t>Proposal 1</w:t>
      </w:r>
      <w:r>
        <w:rPr>
          <w:i/>
          <w:lang w:val="en-GB" w:eastAsia="zh-CN"/>
        </w:rPr>
        <w:t>: There is no need to adopt L1 signalling to activate SCell.</w:t>
      </w:r>
    </w:p>
    <w:p>
      <w:pPr>
        <w:pStyle w:val="2"/>
        <w:rPr>
          <w:lang w:eastAsia="zh-CN"/>
        </w:rPr>
      </w:pPr>
      <w:r>
        <w:rPr>
          <w:rFonts w:hint="eastAsia"/>
          <w:lang w:eastAsia="zh-CN"/>
        </w:rPr>
        <w:t>D</w:t>
      </w:r>
      <w:r>
        <w:rPr>
          <w:lang w:eastAsia="zh-CN"/>
        </w:rPr>
        <w:t>ormant SCell and dormant BWP</w:t>
      </w:r>
    </w:p>
    <w:p>
      <w:pPr>
        <w:rPr>
          <w:lang w:val="en-GB" w:eastAsia="zh-CN"/>
        </w:rPr>
      </w:pPr>
      <w:r>
        <w:rPr>
          <w:lang w:val="en-GB" w:eastAsia="zh-CN"/>
        </w:rPr>
        <w:t>According to the preceding analysis on timeline of SCell activation, the following two delays contribute to most of the SCell activation delay. For simplicity, we call the first delay and second delay as sync delay and CSI delay in this contribution, respectively.</w:t>
      </w:r>
    </w:p>
    <w:p>
      <w:pPr>
        <w:pStyle w:val="114"/>
        <w:numPr>
          <w:ilvl w:val="0"/>
          <w:numId w:val="12"/>
        </w:numPr>
        <w:rPr>
          <w:lang w:eastAsia="zh-CN"/>
        </w:rPr>
      </w:pPr>
      <w:r>
        <w:rPr>
          <w:lang w:eastAsia="zh-CN"/>
        </w:rPr>
        <w:t>Sync delay: delay for time-domain and frequency-domain synchronization, RF warm up and AGC adjustment</w:t>
      </w:r>
      <w:r>
        <w:rPr>
          <w:rFonts w:hint="eastAsia"/>
          <w:lang w:val="en-US" w:eastAsia="zh-CN"/>
        </w:rPr>
        <w:t>.</w:t>
      </w:r>
    </w:p>
    <w:p>
      <w:pPr>
        <w:pStyle w:val="114"/>
        <w:numPr>
          <w:ilvl w:val="0"/>
          <w:numId w:val="12"/>
        </w:numPr>
        <w:rPr>
          <w:lang w:eastAsia="zh-CN"/>
        </w:rPr>
      </w:pPr>
      <w:r>
        <w:rPr>
          <w:lang w:eastAsia="zh-CN"/>
        </w:rPr>
        <w:t>CSI delay: delay for CSI-RS measurement and CSI reporting contribute to most of SCell activation delay.</w:t>
      </w:r>
    </w:p>
    <w:p>
      <w:pPr>
        <w:rPr>
          <w:lang w:val="en-GB" w:eastAsia="zh-CN"/>
        </w:rPr>
      </w:pPr>
      <w:r>
        <w:rPr>
          <w:lang w:val="en-GB" w:eastAsia="zh-CN"/>
        </w:rPr>
        <w:t>If the sync delay and CSI delay can be reduced, then the SCell activation delay can be obviously reduced.</w:t>
      </w:r>
    </w:p>
    <w:p>
      <w:pPr>
        <w:rPr>
          <w:lang w:val="en-GB" w:eastAsia="zh-CN"/>
        </w:rPr>
      </w:pPr>
      <w:r>
        <w:rPr>
          <w:rFonts w:hint="eastAsia"/>
          <w:lang w:val="en-GB" w:eastAsia="zh-CN"/>
        </w:rPr>
        <w:t>I</w:t>
      </w:r>
      <w:r>
        <w:rPr>
          <w:lang w:val="en-GB" w:eastAsia="zh-CN"/>
        </w:rPr>
        <w:t>n LTE euCA, the dormant state is introduced for SCell. If the SCell is in dormant state, a UE doesn’t need to receive PDCCH and PDSCH in that SCell, while UE needs to measure CSI-RS and report CSI periodically in that SCell. That’s to say, for SCell in dormant state, UE’s RF basic function is opening and UE can quickly report its CSI to the network once it is activated.</w:t>
      </w:r>
    </w:p>
    <w:p>
      <w:pPr>
        <w:rPr>
          <w:i/>
          <w:lang w:val="en-GB" w:eastAsia="zh-CN"/>
        </w:rPr>
      </w:pPr>
      <w:r>
        <w:rPr>
          <w:b/>
          <w:i/>
          <w:lang w:val="en-GB" w:eastAsia="zh-CN"/>
        </w:rPr>
        <w:t>Proposal 2</w:t>
      </w:r>
      <w:r>
        <w:rPr>
          <w:i/>
          <w:lang w:val="en-GB" w:eastAsia="zh-CN"/>
        </w:rPr>
        <w:t>: Introduce “dormant state” for SCell in NR.</w:t>
      </w:r>
    </w:p>
    <w:p>
      <w:pPr>
        <w:rPr>
          <w:lang w:val="en-GB" w:eastAsia="zh-CN"/>
        </w:rPr>
      </w:pPr>
      <w:r>
        <w:rPr>
          <w:rFonts w:hint="eastAsia"/>
          <w:lang w:val="en-GB" w:eastAsia="zh-CN"/>
        </w:rPr>
        <w:t>H</w:t>
      </w:r>
      <w:r>
        <w:rPr>
          <w:lang w:val="en-GB" w:eastAsia="zh-CN"/>
        </w:rPr>
        <w:t>owever, BWP is introduced in NR on top of the SCell configuration. Most of the configurations, e.g., PDCCH configuration, PDSCH configuration and CSI configuration are on top of BWP. In NR, define the dormant SCell is more like to configure a dormant BWP</w:t>
      </w:r>
      <w:r>
        <w:rPr>
          <w:rFonts w:hint="eastAsia"/>
          <w:lang w:eastAsia="zh-CN"/>
        </w:rPr>
        <w:t xml:space="preserve"> of SCell</w:t>
      </w:r>
      <w:r>
        <w:rPr>
          <w:lang w:val="en-GB" w:eastAsia="zh-CN"/>
        </w:rPr>
        <w:t xml:space="preserve">. </w:t>
      </w:r>
    </w:p>
    <w:p>
      <w:pPr>
        <w:rPr>
          <w:lang w:eastAsia="zh-CN"/>
        </w:rPr>
      </w:pPr>
      <w:r>
        <w:rPr>
          <w:rFonts w:hint="eastAsia"/>
          <w:lang w:eastAsia="zh-CN"/>
        </w:rPr>
        <w:t xml:space="preserve">As excerpted below, the </w:t>
      </w:r>
      <w:r>
        <w:rPr>
          <w:rFonts w:hint="eastAsia"/>
          <w:i/>
          <w:lang w:eastAsia="zh-CN"/>
        </w:rPr>
        <w:t>pdcch-ConfigCommon, pdsch-ConfigCommon, pdcch-Config and pdsch-Config</w:t>
      </w:r>
      <w:r>
        <w:rPr>
          <w:rFonts w:hint="eastAsia"/>
          <w:lang w:eastAsia="zh-CN"/>
        </w:rPr>
        <w:t xml:space="preserve"> are all optional configuration. By configuring a BWP without PDCCH and PDSCH configuration, the BWP is naturally a dormant BWP. Meanwhile, the CSI-RS and CSI reporting configuration shall still be configured in this dormant BWP.</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pStyle w:val="76"/>
              <w:spacing w:before="0" w:line="240" w:lineRule="auto"/>
              <w:jc w:val="both"/>
            </w:pPr>
            <w:r>
              <w:t xml:space="preserve">BWP-DownlinkCommon ::=              </w:t>
            </w:r>
            <w:r>
              <w:rPr>
                <w:color w:val="993366"/>
              </w:rPr>
              <w:t>SEQUENCE</w:t>
            </w:r>
            <w:r>
              <w:t xml:space="preserve"> {</w:t>
            </w:r>
          </w:p>
          <w:p>
            <w:pPr>
              <w:pStyle w:val="76"/>
              <w:spacing w:before="0" w:line="240" w:lineRule="auto"/>
              <w:jc w:val="both"/>
            </w:pPr>
            <w:r>
              <w:t xml:space="preserve">    genericParameters                   BWP,</w:t>
            </w:r>
          </w:p>
          <w:p>
            <w:pPr>
              <w:pStyle w:val="76"/>
              <w:spacing w:before="0" w:line="240" w:lineRule="auto"/>
              <w:jc w:val="both"/>
              <w:rPr>
                <w:color w:val="808080"/>
              </w:rPr>
            </w:pPr>
            <w:r>
              <w:t xml:space="preserve">    pdcch-ConfigCommon                  SetupRelease { PDCCH-ConfigCommon }                                     </w:t>
            </w:r>
            <w:r>
              <w:rPr>
                <w:color w:val="993366"/>
              </w:rPr>
              <w:t>OPTIONAL</w:t>
            </w:r>
            <w:r>
              <w:t xml:space="preserve">,   </w:t>
            </w:r>
            <w:r>
              <w:rPr>
                <w:color w:val="808080"/>
              </w:rPr>
              <w:t>-- Need M</w:t>
            </w:r>
          </w:p>
          <w:p>
            <w:pPr>
              <w:pStyle w:val="76"/>
              <w:spacing w:before="0" w:line="240" w:lineRule="auto"/>
              <w:jc w:val="both"/>
              <w:rPr>
                <w:color w:val="808080"/>
              </w:rPr>
            </w:pPr>
            <w:r>
              <w:t xml:space="preserve">    pdsch-ConfigCommon                  SetupRelease { PDSCH-ConfigCommon }                                     </w:t>
            </w:r>
            <w:r>
              <w:rPr>
                <w:color w:val="993366"/>
              </w:rPr>
              <w:t>OPTIONAL</w:t>
            </w:r>
            <w:r>
              <w:t xml:space="preserve">,   </w:t>
            </w:r>
            <w:r>
              <w:rPr>
                <w:color w:val="808080"/>
              </w:rPr>
              <w:t>-- Need M</w:t>
            </w:r>
          </w:p>
          <w:p>
            <w:pPr>
              <w:pStyle w:val="76"/>
              <w:spacing w:before="0" w:line="240" w:lineRule="auto"/>
              <w:jc w:val="both"/>
            </w:pPr>
            <w:r>
              <w:t xml:space="preserve">    ...</w:t>
            </w:r>
          </w:p>
          <w:p>
            <w:pPr>
              <w:pStyle w:val="76"/>
              <w:spacing w:before="0" w:line="240" w:lineRule="auto"/>
              <w:jc w:val="both"/>
            </w:pPr>
            <w:r>
              <w:t>}</w:t>
            </w:r>
          </w:p>
          <w:p>
            <w:pPr>
              <w:pStyle w:val="76"/>
              <w:spacing w:before="0" w:line="240" w:lineRule="auto"/>
              <w:jc w:val="both"/>
            </w:pPr>
          </w:p>
          <w:p>
            <w:pPr>
              <w:pStyle w:val="76"/>
              <w:spacing w:before="0" w:line="240" w:lineRule="auto"/>
              <w:jc w:val="both"/>
            </w:pPr>
            <w:r>
              <w:t xml:space="preserve">BWP-DownlinkDedicated ::=           </w:t>
            </w:r>
            <w:r>
              <w:rPr>
                <w:color w:val="993366"/>
              </w:rPr>
              <w:t>SEQUENCE</w:t>
            </w:r>
            <w:r>
              <w:t xml:space="preserve"> {</w:t>
            </w:r>
          </w:p>
          <w:p>
            <w:pPr>
              <w:pStyle w:val="76"/>
              <w:spacing w:before="0" w:line="240" w:lineRule="auto"/>
              <w:jc w:val="both"/>
              <w:rPr>
                <w:color w:val="808080"/>
              </w:rPr>
            </w:pPr>
            <w:r>
              <w:t xml:space="preserve">    pdcch-Config                        SetupRelease { PDCCH-Config }                                           </w:t>
            </w:r>
            <w:r>
              <w:rPr>
                <w:color w:val="993366"/>
              </w:rPr>
              <w:t>OPTIONAL</w:t>
            </w:r>
            <w:r>
              <w:t xml:space="preserve">,   </w:t>
            </w:r>
            <w:r>
              <w:rPr>
                <w:color w:val="808080"/>
              </w:rPr>
              <w:t>-- Need M</w:t>
            </w:r>
          </w:p>
          <w:p>
            <w:pPr>
              <w:pStyle w:val="76"/>
              <w:spacing w:before="0" w:line="240" w:lineRule="auto"/>
              <w:jc w:val="both"/>
              <w:rPr>
                <w:color w:val="808080"/>
              </w:rPr>
            </w:pPr>
            <w:r>
              <w:t xml:space="preserve">    pdsch-Config                        SetupRelease { PDSCH-Config }                                           </w:t>
            </w:r>
            <w:r>
              <w:rPr>
                <w:color w:val="993366"/>
              </w:rPr>
              <w:t>OPTIONAL</w:t>
            </w:r>
            <w:r>
              <w:t xml:space="preserve">,   </w:t>
            </w:r>
            <w:r>
              <w:rPr>
                <w:color w:val="808080"/>
              </w:rPr>
              <w:t>-- Need M</w:t>
            </w:r>
          </w:p>
          <w:p>
            <w:pPr>
              <w:pStyle w:val="76"/>
              <w:spacing w:before="0" w:line="240" w:lineRule="auto"/>
              <w:jc w:val="both"/>
              <w:rPr>
                <w:color w:val="808080"/>
              </w:rPr>
            </w:pPr>
            <w:r>
              <w:t xml:space="preserve">    sps-Config                          SetupRelease { SPS-Config }                                             </w:t>
            </w:r>
            <w:r>
              <w:rPr>
                <w:color w:val="993366"/>
              </w:rPr>
              <w:t>OPTIONAL</w:t>
            </w:r>
            <w:r>
              <w:t xml:space="preserve">,   </w:t>
            </w:r>
            <w:r>
              <w:rPr>
                <w:color w:val="808080"/>
              </w:rPr>
              <w:t>-- Need M</w:t>
            </w:r>
          </w:p>
          <w:p>
            <w:pPr>
              <w:pStyle w:val="76"/>
              <w:spacing w:before="0" w:line="240" w:lineRule="auto"/>
              <w:jc w:val="both"/>
              <w:rPr>
                <w:color w:val="808080"/>
              </w:rPr>
            </w:pPr>
            <w:r>
              <w:t xml:space="preserve">    radioLinkMonitoringConfig           SetupRelease { RadioLinkMonitoringConfig }                              </w:t>
            </w:r>
            <w:r>
              <w:rPr>
                <w:color w:val="993366"/>
              </w:rPr>
              <w:t>OPTIONAL</w:t>
            </w:r>
            <w:r>
              <w:t xml:space="preserve">,   </w:t>
            </w:r>
            <w:r>
              <w:rPr>
                <w:color w:val="808080"/>
              </w:rPr>
              <w:t>-- Need M</w:t>
            </w:r>
          </w:p>
          <w:p>
            <w:pPr>
              <w:pStyle w:val="76"/>
              <w:spacing w:before="0" w:line="240" w:lineRule="auto"/>
              <w:jc w:val="both"/>
            </w:pPr>
            <w:r>
              <w:t xml:space="preserve">    ...</w:t>
            </w:r>
          </w:p>
          <w:p>
            <w:pPr>
              <w:pStyle w:val="76"/>
              <w:spacing w:before="0" w:line="240" w:lineRule="auto"/>
              <w:jc w:val="both"/>
              <w:rPr>
                <w:rFonts w:ascii="New York" w:hAnsi="New York"/>
                <w:lang w:val="en-GB" w:eastAsia="zh-CN"/>
              </w:rPr>
            </w:pPr>
            <w:r>
              <w:t>}</w:t>
            </w:r>
          </w:p>
        </w:tc>
      </w:tr>
    </w:tbl>
    <w:p>
      <w:pPr>
        <w:rPr>
          <w:lang w:val="en-GB" w:eastAsia="zh-CN"/>
        </w:rPr>
      </w:pPr>
    </w:p>
    <w:p>
      <w:pPr>
        <w:rPr>
          <w:lang w:eastAsia="zh-CN"/>
        </w:rPr>
      </w:pPr>
      <w:r>
        <w:rPr>
          <w:rFonts w:hint="eastAsia"/>
          <w:lang w:eastAsia="zh-CN"/>
        </w:rPr>
        <w:t xml:space="preserve">Rel-15 has specified two methods to activate UE from </w:t>
      </w:r>
      <w:r>
        <w:rPr>
          <w:lang w:eastAsia="zh-CN"/>
        </w:rPr>
        <w:t>“</w:t>
      </w:r>
      <w:r>
        <w:rPr>
          <w:rFonts w:hint="eastAsia"/>
          <w:lang w:eastAsia="zh-CN"/>
        </w:rPr>
        <w:t>dormant BWP</w:t>
      </w:r>
      <w:r>
        <w:rPr>
          <w:lang w:eastAsia="zh-CN"/>
        </w:rPr>
        <w:t>”</w:t>
      </w:r>
      <w:r>
        <w:rPr>
          <w:rFonts w:hint="eastAsia"/>
          <w:lang w:eastAsia="zh-CN"/>
        </w:rPr>
        <w:t xml:space="preserve"> to active BWP, i.e., DCI-based BWP switching and RRC-based BWP switching. Compared with DCI-based BWP switching, the delay of RRC-based BWP switching is undesirable. If DCI-based BWP switching is adopted to activate from dormant BWP to active BWP, then a</w:t>
      </w:r>
      <w:r>
        <w:rPr>
          <w:lang w:eastAsia="zh-CN"/>
        </w:rPr>
        <w:t>t</w:t>
      </w:r>
      <w:r>
        <w:rPr>
          <w:rFonts w:hint="eastAsia"/>
          <w:lang w:eastAsia="zh-CN"/>
        </w:rPr>
        <w:t xml:space="preserve"> least one search space should be configured for this dormant BWP. To make it a real dormant BWP, network can configure </w:t>
      </w:r>
      <w:r>
        <w:rPr>
          <w:lang w:eastAsia="zh-CN"/>
        </w:rPr>
        <w:t>cross</w:t>
      </w:r>
      <w:r>
        <w:rPr>
          <w:rFonts w:hint="eastAsia"/>
          <w:lang w:eastAsia="zh-CN"/>
        </w:rPr>
        <w:t>-carrier scheduling for this dormant BWP. By configuring CSI and PDCCH (cross-carrier scheduling) configuration but not configuring PDSCH configuration for a dormant BWP, a UE doesn</w:t>
      </w:r>
      <w:r>
        <w:rPr>
          <w:lang w:eastAsia="zh-CN"/>
        </w:rPr>
        <w:t>’</w:t>
      </w:r>
      <w:r>
        <w:rPr>
          <w:rFonts w:hint="eastAsia"/>
          <w:lang w:eastAsia="zh-CN"/>
        </w:rPr>
        <w:t>t need to receive PDCCH and PDSCH in this dormant BWP and it can still measure CSI-RS and report CSI periodically.</w:t>
      </w:r>
    </w:p>
    <w:p>
      <w:pPr>
        <w:rPr>
          <w:i/>
          <w:iCs/>
          <w:lang w:eastAsia="zh-CN"/>
        </w:rPr>
      </w:pPr>
      <w:r>
        <w:rPr>
          <w:rFonts w:hint="eastAsia"/>
          <w:b/>
          <w:bCs/>
          <w:i/>
          <w:iCs/>
          <w:lang w:eastAsia="zh-CN"/>
        </w:rPr>
        <w:t>Observation</w:t>
      </w:r>
      <w:r>
        <w:rPr>
          <w:b/>
          <w:bCs/>
          <w:i/>
          <w:iCs/>
          <w:lang w:eastAsia="zh-CN"/>
        </w:rPr>
        <w:t xml:space="preserve"> 3</w:t>
      </w:r>
      <w:r>
        <w:rPr>
          <w:rFonts w:hint="eastAsia"/>
          <w:i/>
          <w:iCs/>
          <w:lang w:eastAsia="zh-CN"/>
        </w:rPr>
        <w:t>: Rel-15 can configure a BWP as a dormant BWP by</w:t>
      </w:r>
    </w:p>
    <w:p>
      <w:pPr>
        <w:pStyle w:val="114"/>
        <w:numPr>
          <w:ilvl w:val="0"/>
          <w:numId w:val="12"/>
        </w:numPr>
        <w:rPr>
          <w:i/>
          <w:lang w:eastAsia="zh-CN"/>
        </w:rPr>
      </w:pPr>
      <w:r>
        <w:rPr>
          <w:rFonts w:hint="eastAsia"/>
          <w:i/>
          <w:lang w:eastAsia="zh-CN"/>
        </w:rPr>
        <w:t>Configur</w:t>
      </w:r>
      <w:r>
        <w:rPr>
          <w:i/>
          <w:lang w:eastAsia="zh-CN"/>
        </w:rPr>
        <w:t>ing</w:t>
      </w:r>
      <w:r>
        <w:rPr>
          <w:rFonts w:hint="eastAsia"/>
          <w:i/>
          <w:lang w:eastAsia="zh-CN"/>
        </w:rPr>
        <w:t xml:space="preserve"> at least one search space;</w:t>
      </w:r>
    </w:p>
    <w:p>
      <w:pPr>
        <w:pStyle w:val="114"/>
        <w:numPr>
          <w:ilvl w:val="0"/>
          <w:numId w:val="12"/>
        </w:numPr>
        <w:rPr>
          <w:i/>
          <w:lang w:eastAsia="zh-CN"/>
        </w:rPr>
      </w:pPr>
      <w:r>
        <w:rPr>
          <w:rFonts w:hint="eastAsia"/>
          <w:i/>
          <w:lang w:eastAsia="zh-CN"/>
        </w:rPr>
        <w:t>Configur</w:t>
      </w:r>
      <w:r>
        <w:rPr>
          <w:i/>
          <w:lang w:eastAsia="zh-CN"/>
        </w:rPr>
        <w:t>ing</w:t>
      </w:r>
      <w:r>
        <w:rPr>
          <w:rFonts w:hint="eastAsia"/>
          <w:i/>
          <w:lang w:eastAsia="zh-CN"/>
        </w:rPr>
        <w:t xml:space="preserve"> CSI-RS and CSI reporting resource;</w:t>
      </w:r>
    </w:p>
    <w:p>
      <w:pPr>
        <w:pStyle w:val="114"/>
        <w:numPr>
          <w:ilvl w:val="0"/>
          <w:numId w:val="12"/>
        </w:numPr>
        <w:rPr>
          <w:i/>
          <w:lang w:eastAsia="zh-CN"/>
        </w:rPr>
      </w:pPr>
      <w:r>
        <w:rPr>
          <w:rFonts w:hint="eastAsia"/>
          <w:i/>
          <w:lang w:eastAsia="zh-CN"/>
        </w:rPr>
        <w:t>Configur</w:t>
      </w:r>
      <w:r>
        <w:rPr>
          <w:i/>
          <w:lang w:eastAsia="zh-CN"/>
        </w:rPr>
        <w:t>ing</w:t>
      </w:r>
      <w:r>
        <w:rPr>
          <w:rFonts w:hint="eastAsia"/>
          <w:i/>
          <w:lang w:eastAsia="zh-CN"/>
        </w:rPr>
        <w:t xml:space="preserve"> cross-carrier scheduling.</w:t>
      </w:r>
    </w:p>
    <w:p>
      <w:pPr>
        <w:rPr>
          <w:lang w:eastAsia="zh-CN"/>
        </w:rPr>
      </w:pPr>
      <w:r>
        <w:rPr>
          <w:rFonts w:hint="eastAsia"/>
          <w:lang w:eastAsia="zh-CN"/>
        </w:rPr>
        <w:t>T</w:t>
      </w:r>
      <w:r>
        <w:rPr>
          <w:lang w:eastAsia="zh-CN"/>
        </w:rPr>
        <w:t xml:space="preserve">ake </w:t>
      </w:r>
      <w:r>
        <w:rPr>
          <w:lang w:eastAsia="zh-CN"/>
        </w:rPr>
        <w:fldChar w:fldCharType="begin"/>
      </w:r>
      <w:r>
        <w:rPr>
          <w:lang w:eastAsia="zh-CN"/>
        </w:rPr>
        <w:instrText xml:space="preserve"> REF _Ref4607049 \h </w:instrText>
      </w:r>
      <w:r>
        <w:rPr>
          <w:lang w:eastAsia="zh-CN"/>
        </w:rPr>
        <w:fldChar w:fldCharType="separate"/>
      </w:r>
      <w:r>
        <w:t>Figure 1</w:t>
      </w:r>
      <w:r>
        <w:rPr>
          <w:lang w:eastAsia="zh-CN"/>
        </w:rPr>
        <w:fldChar w:fldCharType="end"/>
      </w:r>
      <w:r>
        <w:rPr>
          <w:lang w:eastAsia="zh-CN"/>
        </w:rPr>
        <w:t xml:space="preserve"> as an example, a UE needs to perform CSI-RS measurement and CSI reporting in dormant BWP. That means the UE keeps RF on and can report the CSI information to network quickly. When bursty traffic occurs, network can promptly transmit a DCI-based BWP switching signaling to UE, UE can finish BWP switching within 2 ms </w:t>
      </w:r>
      <w:r>
        <w:rPr>
          <w:lang w:eastAsia="zh-CN"/>
        </w:rPr>
        <w:fldChar w:fldCharType="begin"/>
      </w:r>
      <w:r>
        <w:rPr>
          <w:lang w:eastAsia="zh-CN"/>
        </w:rPr>
        <w:instrText xml:space="preserve"> REF _Ref4607597 \n \h </w:instrText>
      </w:r>
      <w:r>
        <w:rPr>
          <w:lang w:eastAsia="zh-CN"/>
        </w:rPr>
        <w:fldChar w:fldCharType="separate"/>
      </w:r>
      <w:r>
        <w:rPr>
          <w:lang w:eastAsia="zh-CN"/>
        </w:rPr>
        <w:t>[3]</w:t>
      </w:r>
      <w:r>
        <w:rPr>
          <w:lang w:eastAsia="zh-CN"/>
        </w:rPr>
        <w:fldChar w:fldCharType="end"/>
      </w:r>
      <w:r>
        <w:rPr>
          <w:lang w:eastAsia="zh-CN"/>
        </w:rPr>
        <w:t xml:space="preserve">. Besides, the sync delay and CSI delay can be greatly reduced since UE performs CSI-RS measurement and CSI reporting periodically. </w:t>
      </w:r>
    </w:p>
    <w:p>
      <w:pPr>
        <w:keepNext/>
        <w:jc w:val="center"/>
      </w:pPr>
      <w:r>
        <w:rPr>
          <w:lang w:eastAsia="zh-CN"/>
        </w:rPr>
        <w:drawing>
          <wp:inline distT="0" distB="0" distL="0" distR="0">
            <wp:extent cx="4282440" cy="1588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300343" cy="1594946"/>
                    </a:xfrm>
                    <a:prstGeom prst="rect">
                      <a:avLst/>
                    </a:prstGeom>
                    <a:noFill/>
                  </pic:spPr>
                </pic:pic>
              </a:graphicData>
            </a:graphic>
          </wp:inline>
        </w:drawing>
      </w:r>
    </w:p>
    <w:p>
      <w:pPr>
        <w:pStyle w:val="30"/>
        <w:jc w:val="center"/>
        <w:rPr>
          <w:lang w:eastAsia="zh-CN"/>
        </w:rPr>
      </w:pPr>
      <w:bookmarkStart w:id="4" w:name="_Ref4607049"/>
      <w:r>
        <w:t xml:space="preserve">Figure </w:t>
      </w:r>
      <w:r>
        <w:fldChar w:fldCharType="begin"/>
      </w:r>
      <w:r>
        <w:instrText xml:space="preserve"> SEQ Figure \* ARABIC </w:instrText>
      </w:r>
      <w:r>
        <w:fldChar w:fldCharType="separate"/>
      </w:r>
      <w:r>
        <w:t>1</w:t>
      </w:r>
      <w:r>
        <w:fldChar w:fldCharType="end"/>
      </w:r>
      <w:bookmarkEnd w:id="4"/>
      <w:r>
        <w:t>. Dormant BWP configuration</w:t>
      </w:r>
    </w:p>
    <w:p>
      <w:pPr>
        <w:jc w:val="center"/>
        <w:rPr>
          <w:lang w:eastAsia="zh-CN"/>
        </w:rPr>
      </w:pPr>
    </w:p>
    <w:p>
      <w:pPr>
        <w:rPr>
          <w:lang w:eastAsia="zh-CN"/>
        </w:rPr>
      </w:pPr>
      <w:r>
        <w:rPr>
          <w:lang w:eastAsia="zh-CN"/>
        </w:rPr>
        <w:t>However, one SCell has to be configured as cross-carrier scheduling if network configures one dormant BWP for it. If the number of SCell is larger, this is likely to result in control overload and high PDCCH blockage in PCell. One way to handle this issue is to configure the dormant BWP as cross-carrier scheduling by default and other BWPs can be configured as cross-carrier scheduling or self-scheduling following the cell configuration.</w:t>
      </w:r>
    </w:p>
    <w:p>
      <w:pPr>
        <w:rPr>
          <w:i/>
          <w:lang w:eastAsia="zh-CN"/>
        </w:rPr>
      </w:pPr>
      <w:r>
        <w:rPr>
          <w:rFonts w:hint="eastAsia"/>
          <w:b/>
          <w:i/>
          <w:lang w:eastAsia="zh-CN"/>
        </w:rPr>
        <w:t>P</w:t>
      </w:r>
      <w:r>
        <w:rPr>
          <w:b/>
          <w:i/>
          <w:lang w:eastAsia="zh-CN"/>
        </w:rPr>
        <w:t>roposal 3</w:t>
      </w:r>
      <w:r>
        <w:rPr>
          <w:i/>
          <w:lang w:eastAsia="zh-CN"/>
        </w:rPr>
        <w:t>: Support dormant BWP in Rel-16 for fast SCell activation and enable cross-carrier scheduling by default for dormant BWP.</w:t>
      </w:r>
    </w:p>
    <w:p>
      <w:pPr>
        <w:rPr>
          <w:lang w:eastAsia="zh-CN"/>
        </w:rPr>
      </w:pPr>
      <w:r>
        <w:rPr>
          <w:lang w:eastAsia="zh-CN"/>
        </w:rPr>
        <w:t xml:space="preserve">Another way to handle this issue is to configure BWP-level cross-carrier scheduling. Network can configure BWPs in the same SCell with different cross-carrier scheduling configurations. For example, as depicted in </w:t>
      </w:r>
      <w:r>
        <w:rPr>
          <w:lang w:eastAsia="zh-CN"/>
        </w:rPr>
        <w:fldChar w:fldCharType="begin"/>
      </w:r>
      <w:r>
        <w:rPr>
          <w:lang w:eastAsia="zh-CN"/>
        </w:rPr>
        <w:instrText xml:space="preserve"> REF _Ref4610278 \h </w:instrText>
      </w:r>
      <w:r>
        <w:rPr>
          <w:lang w:eastAsia="zh-CN"/>
        </w:rPr>
        <w:fldChar w:fldCharType="separate"/>
      </w:r>
      <w:r>
        <w:t>Figure 2</w:t>
      </w:r>
      <w:r>
        <w:rPr>
          <w:lang w:eastAsia="zh-CN"/>
        </w:rPr>
        <w:fldChar w:fldCharType="end"/>
      </w:r>
      <w:r>
        <w:rPr>
          <w:lang w:eastAsia="zh-CN"/>
        </w:rPr>
        <w:t>, network configures dormant BWP as cross-carrier scheduling, configures BWP#2 as cross-carrier scheduling and configures BWP#3 as self-scheduling. In this way, network can better balance control overload between different Cells and reduce the PDCCH blockage.</w:t>
      </w:r>
    </w:p>
    <w:p>
      <w:pPr>
        <w:rPr>
          <w:i/>
          <w:lang w:eastAsia="zh-CN"/>
        </w:rPr>
      </w:pPr>
      <w:r>
        <w:rPr>
          <w:b/>
          <w:i/>
          <w:lang w:eastAsia="zh-CN"/>
        </w:rPr>
        <w:t>Proposal 4</w:t>
      </w:r>
      <w:r>
        <w:rPr>
          <w:i/>
          <w:lang w:eastAsia="zh-CN"/>
        </w:rPr>
        <w:t>: If dormant BWP is supported in Rel-16, support BWP-level cross-carrier scheduling configuration.</w:t>
      </w:r>
    </w:p>
    <w:p>
      <w:pPr>
        <w:jc w:val="center"/>
        <w:rPr>
          <w:lang w:eastAsia="zh-CN"/>
        </w:rPr>
      </w:pPr>
      <w:r>
        <w:rPr>
          <w:lang w:eastAsia="zh-CN"/>
        </w:rPr>
        <w:drawing>
          <wp:inline distT="0" distB="0" distL="0" distR="0">
            <wp:extent cx="4407535" cy="1778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423074" cy="1785293"/>
                    </a:xfrm>
                    <a:prstGeom prst="rect">
                      <a:avLst/>
                    </a:prstGeom>
                    <a:noFill/>
                  </pic:spPr>
                </pic:pic>
              </a:graphicData>
            </a:graphic>
          </wp:inline>
        </w:drawing>
      </w:r>
    </w:p>
    <w:p>
      <w:pPr>
        <w:pStyle w:val="30"/>
        <w:jc w:val="center"/>
      </w:pPr>
      <w:bookmarkStart w:id="5" w:name="_Ref4610278"/>
      <w:r>
        <w:t xml:space="preserve">Figure </w:t>
      </w:r>
      <w:r>
        <w:fldChar w:fldCharType="begin"/>
      </w:r>
      <w:r>
        <w:instrText xml:space="preserve"> SEQ Figure \* ARABIC </w:instrText>
      </w:r>
      <w:r>
        <w:fldChar w:fldCharType="separate"/>
      </w:r>
      <w:r>
        <w:t>2</w:t>
      </w:r>
      <w:r>
        <w:fldChar w:fldCharType="end"/>
      </w:r>
      <w:bookmarkEnd w:id="5"/>
      <w:r>
        <w:t>. BWP-level cross-carrier scheduling configuration</w:t>
      </w:r>
    </w:p>
    <w:p>
      <w:pPr>
        <w:pStyle w:val="2"/>
      </w:pPr>
      <w:r>
        <w:t>AP-CSI-RS for TCI indication</w:t>
      </w:r>
    </w:p>
    <w:p>
      <w:pPr>
        <w:rPr>
          <w:lang w:eastAsia="zh-CN"/>
        </w:rPr>
      </w:pPr>
      <w:r>
        <w:rPr>
          <w:lang w:eastAsia="zh-CN"/>
        </w:rPr>
        <w:t xml:space="preserve">Using AP CSI-RS indicated in TCI to update QCL source of PDSCH has been agreed in RAN1 and supported in Rel-15.  During SCell activation procedure from dormant BWP to active BWP, triggering of aperiodic CSI-RS can be sent along with the activation or switching command so that UE can measure aperiodic CSI-RS in advance for channel tracking or CSI feedback at the beginning of the activation window. In this case, network may indicate a TCI state for UE using AP CSI-RS as a QCL source for channel tracking. Unfortunately, the timing offset from aperiodic CSI-RS transmission to the instant when TCI indication using that aperiodic CSI-RS can be applied to PDSCH is not specified.  </w:t>
      </w:r>
      <w:r>
        <w:t xml:space="preserve">As UE needs some time to apply the QCL parameters derived from AP CSI-RS, it is very hard for gNB to make use of this feature if timing is not specified. </w:t>
      </w:r>
      <w:r>
        <w:rPr>
          <w:lang w:eastAsia="zh-CN"/>
        </w:rPr>
        <w:t>. A In this case, this delay differs a lot depending on UE implementation. This is likely to increase the SCell activation delay.</w:t>
      </w:r>
    </w:p>
    <w:p>
      <w:pPr>
        <w:rPr>
          <w:lang w:eastAsia="zh-CN"/>
        </w:rPr>
      </w:pPr>
      <w:r>
        <w:rPr>
          <w:lang w:eastAsia="zh-CN"/>
        </w:rPr>
        <w:t>We propose to use the timing reported in FG 2-25 beam report timing, which should be sufficient for UE to apply the QCL parameters derived from AP CSI-RS.</w:t>
      </w:r>
    </w:p>
    <w:p>
      <w:pPr>
        <w:rPr>
          <w:lang w:eastAsia="zh-CN"/>
        </w:rPr>
      </w:pPr>
    </w:p>
    <w:p>
      <w:pPr>
        <w:jc w:val="center"/>
      </w:pPr>
      <w:r>
        <w:object>
          <v:shape id="_x0000_i1025" o:spt="75" type="#_x0000_t75" style="height:81.55pt;width:202.2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jc w:val="center"/>
        <w:rPr>
          <w:lang w:eastAsia="zh-CN"/>
        </w:rPr>
      </w:pPr>
      <w:r>
        <w:rPr>
          <w:b/>
        </w:rPr>
        <w:t>Figure 3</w:t>
      </w:r>
      <w:r>
        <w:t>. Timing of AP CSI-RS as a QCL source for PDSCH</w:t>
      </w:r>
    </w:p>
    <w:p>
      <w:pPr>
        <w:rPr>
          <w:lang w:eastAsia="zh-CN"/>
        </w:rPr>
      </w:pPr>
    </w:p>
    <w:p>
      <w:pPr>
        <w:snapToGrid w:val="0"/>
        <w:spacing w:after="0"/>
        <w:rPr>
          <w:bCs/>
          <w:i/>
        </w:rPr>
      </w:pPr>
      <w:r>
        <w:rPr>
          <w:b/>
          <w:i/>
          <w:lang w:eastAsia="zh-CN"/>
        </w:rPr>
        <w:t>Proposal 5</w:t>
      </w:r>
      <w:r>
        <w:rPr>
          <w:i/>
          <w:lang w:eastAsia="zh-CN"/>
        </w:rPr>
        <w:t>:</w:t>
      </w:r>
      <w:r>
        <w:rPr>
          <w:b/>
          <w:i/>
        </w:rPr>
        <w:t xml:space="preserve"> </w:t>
      </w:r>
      <w:r>
        <w:rPr>
          <w:bCs/>
          <w:i/>
        </w:rPr>
        <w:t xml:space="preserve">If a TCI state for PDSCH indicates an AP CSI-RS resource as a QCL source, UE </w:t>
      </w:r>
      <w:r>
        <w:rPr>
          <w:rFonts w:hint="eastAsia"/>
          <w:bCs/>
          <w:i/>
        </w:rPr>
        <w:t xml:space="preserve">is expected to </w:t>
      </w:r>
      <w:r>
        <w:rPr>
          <w:bCs/>
          <w:i/>
        </w:rPr>
        <w:t>apply the QCL</w:t>
      </w:r>
      <w:r>
        <w:rPr>
          <w:rFonts w:hint="eastAsia"/>
          <w:bCs/>
          <w:i/>
        </w:rPr>
        <w:t xml:space="preserve"> parameter(s)</w:t>
      </w:r>
      <w:r>
        <w:rPr>
          <w:bCs/>
          <w:i/>
        </w:rPr>
        <w:t xml:space="preserve"> </w:t>
      </w:r>
      <w:r>
        <w:rPr>
          <w:rFonts w:hint="eastAsia"/>
          <w:bCs/>
          <w:i/>
        </w:rPr>
        <w:t xml:space="preserve">derived </w:t>
      </w:r>
      <w:r>
        <w:rPr>
          <w:bCs/>
          <w:i/>
        </w:rPr>
        <w:t>from th</w:t>
      </w:r>
      <w:r>
        <w:rPr>
          <w:rFonts w:hint="eastAsia"/>
          <w:bCs/>
          <w:i/>
        </w:rPr>
        <w:t>e</w:t>
      </w:r>
      <w:r>
        <w:rPr>
          <w:bCs/>
          <w:i/>
        </w:rPr>
        <w:t xml:space="preserve"> AP CSI-RS transmitted before OFDM symbol n-S, where symbol n is the first symbol of the PDSCH.</w:t>
      </w:r>
    </w:p>
    <w:p>
      <w:pPr>
        <w:numPr>
          <w:ilvl w:val="0"/>
          <w:numId w:val="13"/>
        </w:numPr>
        <w:overflowPunct/>
        <w:autoSpaceDE/>
        <w:autoSpaceDN/>
        <w:snapToGrid w:val="0"/>
        <w:spacing w:after="0"/>
        <w:ind w:left="840"/>
        <w:textAlignment w:val="auto"/>
        <w:rPr>
          <w:rFonts w:eastAsia="Malgun Gothic"/>
          <w:i/>
          <w:iCs/>
          <w:color w:val="000000"/>
          <w:shd w:val="clear" w:color="auto" w:fill="FFFFFF"/>
        </w:rPr>
      </w:pPr>
      <w:r>
        <w:rPr>
          <w:rFonts w:eastAsia="Malgun Gothic"/>
          <w:i/>
          <w:iCs/>
          <w:color w:val="000000"/>
          <w:shd w:val="clear" w:color="auto" w:fill="FFFFFF"/>
        </w:rPr>
        <w:t>The value of S follows the value reported in FG 2-25</w:t>
      </w:r>
    </w:p>
    <w:p>
      <w:pPr>
        <w:rPr>
          <w:i/>
          <w:lang w:eastAsia="zh-CN"/>
        </w:rPr>
      </w:pPr>
    </w:p>
    <w:p>
      <w:pPr>
        <w:rPr>
          <w:lang w:val="en-GB"/>
        </w:rPr>
      </w:pPr>
      <w:r>
        <w:rPr>
          <w:lang w:eastAsia="zh-CN"/>
        </w:rPr>
        <w:t>In addition, we can also consider a measurement window before the activation for PDSCH reception so that UEs can perform channel tracking or beam management or CSI feedback with aperiodic CSI-RS in advance.</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T</w:t>
      </w:r>
      <w:r>
        <w:rPr>
          <w:lang w:eastAsia="zh-CN"/>
        </w:rPr>
        <w:t>o sum up, the following observations and proposals are present in this contribution.</w:t>
      </w:r>
    </w:p>
    <w:p>
      <w:pPr>
        <w:rPr>
          <w:i/>
          <w:lang w:val="en-GB" w:eastAsia="zh-CN"/>
        </w:rPr>
      </w:pPr>
      <w:r>
        <w:rPr>
          <w:b/>
          <w:i/>
          <w:lang w:val="en-GB" w:eastAsia="zh-CN"/>
        </w:rPr>
        <w:t>Observation 1</w:t>
      </w:r>
      <w:r>
        <w:rPr>
          <w:i/>
          <w:lang w:val="en-GB" w:eastAsia="zh-CN"/>
        </w:rPr>
        <w:t>: The following delay accounts for a large portion of SCell activation delay.</w:t>
      </w:r>
    </w:p>
    <w:p>
      <w:pPr>
        <w:pStyle w:val="114"/>
        <w:numPr>
          <w:ilvl w:val="0"/>
          <w:numId w:val="11"/>
        </w:numPr>
        <w:rPr>
          <w:i/>
          <w:lang w:eastAsia="zh-CN"/>
        </w:rPr>
      </w:pPr>
      <w:r>
        <w:rPr>
          <w:i/>
          <w:lang w:eastAsia="zh-CN"/>
        </w:rPr>
        <w:t>Delay for time-domain and frequency-domain synchronization, RF warm up and AGC adjustment;</w:t>
      </w:r>
    </w:p>
    <w:p>
      <w:pPr>
        <w:pStyle w:val="114"/>
        <w:numPr>
          <w:ilvl w:val="0"/>
          <w:numId w:val="11"/>
        </w:numPr>
        <w:rPr>
          <w:i/>
          <w:lang w:eastAsia="zh-CN"/>
        </w:rPr>
      </w:pPr>
      <w:r>
        <w:rPr>
          <w:i/>
          <w:lang w:eastAsia="zh-CN"/>
        </w:rPr>
        <w:t>Delay for CSI-RS measurement and CSI reporting.</w:t>
      </w:r>
    </w:p>
    <w:p>
      <w:pPr>
        <w:rPr>
          <w:i/>
          <w:lang w:val="en-GB" w:eastAsia="zh-CN"/>
        </w:rPr>
      </w:pPr>
      <w:r>
        <w:rPr>
          <w:rFonts w:hint="eastAsia"/>
          <w:b/>
          <w:i/>
          <w:lang w:val="en-GB" w:eastAsia="zh-CN"/>
        </w:rPr>
        <w:t>O</w:t>
      </w:r>
      <w:r>
        <w:rPr>
          <w:b/>
          <w:i/>
          <w:lang w:val="en-GB" w:eastAsia="zh-CN"/>
        </w:rPr>
        <w:t>bservation 2</w:t>
      </w:r>
      <w:r>
        <w:rPr>
          <w:i/>
          <w:lang w:val="en-GB" w:eastAsia="zh-CN"/>
        </w:rPr>
        <w:t>: L2 processing delay only contributes about 3.5% to the total SCell activation delay. The gain of adopting L1 signalling instead of MAC CE to activate SCell is marginal.</w:t>
      </w:r>
    </w:p>
    <w:p>
      <w:pPr>
        <w:rPr>
          <w:i/>
          <w:iCs/>
          <w:lang w:eastAsia="zh-CN"/>
        </w:rPr>
      </w:pPr>
      <w:r>
        <w:rPr>
          <w:rFonts w:hint="eastAsia"/>
          <w:b/>
          <w:bCs/>
          <w:i/>
          <w:iCs/>
          <w:lang w:eastAsia="zh-CN"/>
        </w:rPr>
        <w:t>Observation</w:t>
      </w:r>
      <w:r>
        <w:rPr>
          <w:b/>
          <w:bCs/>
          <w:i/>
          <w:iCs/>
          <w:lang w:eastAsia="zh-CN"/>
        </w:rPr>
        <w:t xml:space="preserve"> 3</w:t>
      </w:r>
      <w:r>
        <w:rPr>
          <w:rFonts w:hint="eastAsia"/>
          <w:i/>
          <w:iCs/>
          <w:lang w:eastAsia="zh-CN"/>
        </w:rPr>
        <w:t>: Rel-15 can configure a BWP as a dormant BWP by</w:t>
      </w:r>
    </w:p>
    <w:p>
      <w:pPr>
        <w:pStyle w:val="114"/>
        <w:numPr>
          <w:ilvl w:val="0"/>
          <w:numId w:val="12"/>
        </w:numPr>
        <w:rPr>
          <w:i/>
          <w:lang w:eastAsia="zh-CN"/>
        </w:rPr>
      </w:pPr>
      <w:r>
        <w:rPr>
          <w:rFonts w:hint="eastAsia"/>
          <w:i/>
          <w:lang w:eastAsia="zh-CN"/>
        </w:rPr>
        <w:t>Configur</w:t>
      </w:r>
      <w:r>
        <w:rPr>
          <w:i/>
          <w:lang w:eastAsia="zh-CN"/>
        </w:rPr>
        <w:t>ing</w:t>
      </w:r>
      <w:r>
        <w:rPr>
          <w:rFonts w:hint="eastAsia"/>
          <w:i/>
          <w:lang w:eastAsia="zh-CN"/>
        </w:rPr>
        <w:t xml:space="preserve"> at least one search space;</w:t>
      </w:r>
    </w:p>
    <w:p>
      <w:pPr>
        <w:pStyle w:val="114"/>
        <w:numPr>
          <w:ilvl w:val="0"/>
          <w:numId w:val="12"/>
        </w:numPr>
        <w:rPr>
          <w:i/>
          <w:lang w:eastAsia="zh-CN"/>
        </w:rPr>
      </w:pPr>
      <w:r>
        <w:rPr>
          <w:rFonts w:hint="eastAsia"/>
          <w:i/>
          <w:lang w:eastAsia="zh-CN"/>
        </w:rPr>
        <w:t>Configur</w:t>
      </w:r>
      <w:r>
        <w:rPr>
          <w:i/>
          <w:lang w:eastAsia="zh-CN"/>
        </w:rPr>
        <w:t>ing</w:t>
      </w:r>
      <w:r>
        <w:rPr>
          <w:rFonts w:hint="eastAsia"/>
          <w:i/>
          <w:lang w:eastAsia="zh-CN"/>
        </w:rPr>
        <w:t xml:space="preserve"> CSI-RS and CSI reporting resource;</w:t>
      </w:r>
    </w:p>
    <w:p>
      <w:pPr>
        <w:pStyle w:val="114"/>
        <w:numPr>
          <w:ilvl w:val="0"/>
          <w:numId w:val="12"/>
        </w:numPr>
        <w:rPr>
          <w:i/>
          <w:lang w:eastAsia="zh-CN"/>
        </w:rPr>
      </w:pPr>
      <w:r>
        <w:rPr>
          <w:rFonts w:hint="eastAsia"/>
          <w:i/>
          <w:lang w:eastAsia="zh-CN"/>
        </w:rPr>
        <w:t>Configur</w:t>
      </w:r>
      <w:r>
        <w:rPr>
          <w:i/>
          <w:lang w:eastAsia="zh-CN"/>
        </w:rPr>
        <w:t>ing</w:t>
      </w:r>
      <w:r>
        <w:rPr>
          <w:rFonts w:hint="eastAsia"/>
          <w:i/>
          <w:lang w:eastAsia="zh-CN"/>
        </w:rPr>
        <w:t xml:space="preserve"> cross-carrier scheduling.</w:t>
      </w:r>
    </w:p>
    <w:p>
      <w:pPr>
        <w:rPr>
          <w:i/>
          <w:lang w:val="en-GB" w:eastAsia="zh-CN"/>
        </w:rPr>
      </w:pPr>
      <w:r>
        <w:rPr>
          <w:b/>
          <w:i/>
          <w:lang w:val="en-GB" w:eastAsia="zh-CN"/>
        </w:rPr>
        <w:t>Proposal 1</w:t>
      </w:r>
      <w:r>
        <w:rPr>
          <w:i/>
          <w:lang w:val="en-GB" w:eastAsia="zh-CN"/>
        </w:rPr>
        <w:t>: There is no need to adopt L1 signalling to activate SCell.</w:t>
      </w:r>
    </w:p>
    <w:p>
      <w:pPr>
        <w:rPr>
          <w:i/>
          <w:lang w:val="en-GB" w:eastAsia="zh-CN"/>
        </w:rPr>
      </w:pPr>
      <w:r>
        <w:rPr>
          <w:b/>
          <w:i/>
          <w:lang w:val="en-GB" w:eastAsia="zh-CN"/>
        </w:rPr>
        <w:t>Proposal 2</w:t>
      </w:r>
      <w:r>
        <w:rPr>
          <w:i/>
          <w:lang w:val="en-GB" w:eastAsia="zh-CN"/>
        </w:rPr>
        <w:t>: Introduce “dormant state” for SCell in NR.</w:t>
      </w:r>
    </w:p>
    <w:p>
      <w:pPr>
        <w:rPr>
          <w:i/>
          <w:lang w:eastAsia="zh-CN"/>
        </w:rPr>
      </w:pPr>
      <w:r>
        <w:rPr>
          <w:rFonts w:hint="eastAsia"/>
          <w:b/>
          <w:i/>
          <w:lang w:eastAsia="zh-CN"/>
        </w:rPr>
        <w:t>P</w:t>
      </w:r>
      <w:r>
        <w:rPr>
          <w:b/>
          <w:i/>
          <w:lang w:eastAsia="zh-CN"/>
        </w:rPr>
        <w:t>roposal 3</w:t>
      </w:r>
      <w:r>
        <w:rPr>
          <w:i/>
          <w:lang w:eastAsia="zh-CN"/>
        </w:rPr>
        <w:t>: Support dormant BWP in Rel-16 for fast SCell activation and enable cross-carrier scheduling by default for dormant BWP.</w:t>
      </w:r>
    </w:p>
    <w:p>
      <w:pPr>
        <w:rPr>
          <w:i/>
          <w:lang w:eastAsia="zh-CN"/>
        </w:rPr>
      </w:pPr>
      <w:r>
        <w:rPr>
          <w:b/>
          <w:i/>
          <w:lang w:eastAsia="zh-CN"/>
        </w:rPr>
        <w:t>Proposal 4</w:t>
      </w:r>
      <w:r>
        <w:rPr>
          <w:i/>
          <w:lang w:eastAsia="zh-CN"/>
        </w:rPr>
        <w:t>: If dormant BWP is supported in Rel-16, support BWP-level cross-carrier scheduling configuration.</w:t>
      </w:r>
    </w:p>
    <w:p>
      <w:pPr>
        <w:snapToGrid w:val="0"/>
        <w:spacing w:after="0"/>
        <w:rPr>
          <w:bCs/>
          <w:i/>
        </w:rPr>
      </w:pPr>
      <w:r>
        <w:rPr>
          <w:b/>
          <w:i/>
          <w:lang w:eastAsia="zh-CN"/>
        </w:rPr>
        <w:t>Proposal 5</w:t>
      </w:r>
      <w:r>
        <w:rPr>
          <w:i/>
          <w:lang w:eastAsia="zh-CN"/>
        </w:rPr>
        <w:t xml:space="preserve">: </w:t>
      </w:r>
      <w:r>
        <w:rPr>
          <w:rFonts w:hint="eastAsia"/>
          <w:bCs/>
          <w:i/>
        </w:rPr>
        <w:t xml:space="preserve"> </w:t>
      </w:r>
      <w:r>
        <w:rPr>
          <w:bCs/>
          <w:i/>
        </w:rPr>
        <w:t xml:space="preserve">If a TCI state for PDSCH indicates an AP CSI-RS resource as a QCL source, UE </w:t>
      </w:r>
      <w:r>
        <w:rPr>
          <w:rFonts w:hint="eastAsia"/>
          <w:bCs/>
          <w:i/>
        </w:rPr>
        <w:t xml:space="preserve">is expected to </w:t>
      </w:r>
      <w:r>
        <w:rPr>
          <w:bCs/>
          <w:i/>
        </w:rPr>
        <w:t>apply the QCL</w:t>
      </w:r>
      <w:r>
        <w:rPr>
          <w:rFonts w:hint="eastAsia"/>
          <w:bCs/>
          <w:i/>
        </w:rPr>
        <w:t xml:space="preserve"> parameter(s)</w:t>
      </w:r>
      <w:r>
        <w:rPr>
          <w:bCs/>
          <w:i/>
        </w:rPr>
        <w:t xml:space="preserve"> </w:t>
      </w:r>
      <w:r>
        <w:rPr>
          <w:rFonts w:hint="eastAsia"/>
          <w:bCs/>
          <w:i/>
        </w:rPr>
        <w:t xml:space="preserve">derived </w:t>
      </w:r>
      <w:r>
        <w:rPr>
          <w:bCs/>
          <w:i/>
        </w:rPr>
        <w:t>from th</w:t>
      </w:r>
      <w:r>
        <w:rPr>
          <w:rFonts w:hint="eastAsia"/>
          <w:bCs/>
          <w:i/>
        </w:rPr>
        <w:t>e</w:t>
      </w:r>
      <w:r>
        <w:rPr>
          <w:bCs/>
          <w:i/>
        </w:rPr>
        <w:t xml:space="preserve"> AP CSI-RS transmitted before OFDM symbol n-S, where symbol n is the first symbol of the PDSCH.</w:t>
      </w:r>
    </w:p>
    <w:p>
      <w:pPr>
        <w:numPr>
          <w:ilvl w:val="0"/>
          <w:numId w:val="13"/>
        </w:numPr>
        <w:overflowPunct/>
        <w:autoSpaceDE/>
        <w:autoSpaceDN/>
        <w:snapToGrid w:val="0"/>
        <w:spacing w:after="0"/>
        <w:ind w:left="840"/>
        <w:textAlignment w:val="auto"/>
        <w:rPr>
          <w:rFonts w:eastAsia="Malgun Gothic"/>
          <w:i/>
          <w:iCs/>
          <w:color w:val="000000"/>
          <w:shd w:val="clear" w:color="auto" w:fill="FFFFFF"/>
        </w:rPr>
      </w:pPr>
      <w:r>
        <w:rPr>
          <w:rFonts w:eastAsia="Malgun Gothic"/>
          <w:i/>
          <w:iCs/>
          <w:color w:val="000000"/>
          <w:shd w:val="clear" w:color="auto" w:fill="FFFFFF"/>
        </w:rPr>
        <w:t>The value of S follows the value reported in FG 2-25</w:t>
      </w:r>
    </w:p>
    <w:p>
      <w:pPr>
        <w:rPr>
          <w:i/>
          <w:lang w:val="en-GB"/>
        </w:rPr>
      </w:pPr>
    </w:p>
    <w:p>
      <w:pPr>
        <w:pStyle w:val="2"/>
        <w:rPr>
          <w:lang w:eastAsia="zh-CN"/>
        </w:rPr>
      </w:pPr>
      <w:r>
        <w:rPr>
          <w:rFonts w:hint="eastAsia"/>
          <w:lang w:eastAsia="zh-CN"/>
        </w:rPr>
        <w:t>R</w:t>
      </w:r>
      <w:r>
        <w:rPr>
          <w:lang w:eastAsia="zh-CN"/>
        </w:rPr>
        <w:t>eference</w:t>
      </w:r>
    </w:p>
    <w:p>
      <w:pPr>
        <w:pStyle w:val="126"/>
        <w:rPr>
          <w:lang w:eastAsia="zh-CN"/>
        </w:rPr>
      </w:pPr>
      <w:bookmarkStart w:id="6" w:name="_Ref29168"/>
      <w:r>
        <w:rPr>
          <w:rFonts w:hint="eastAsia"/>
          <w:lang w:eastAsia="zh-CN"/>
        </w:rPr>
        <w:t>R</w:t>
      </w:r>
      <w:r>
        <w:rPr>
          <w:lang w:eastAsia="zh-CN"/>
        </w:rPr>
        <w:t>P-190452, “Revised WID: Multi-RAT Dual-Connectivity and Carrier Aggregation enhancements”, Shenzhen, China, 18-21 March, 2019.</w:t>
      </w:r>
      <w:bookmarkEnd w:id="6"/>
    </w:p>
    <w:p>
      <w:pPr>
        <w:pStyle w:val="126"/>
        <w:rPr>
          <w:lang w:eastAsia="zh-CN"/>
        </w:rPr>
      </w:pPr>
      <w:bookmarkStart w:id="7" w:name="_Ref4573461"/>
      <w:r>
        <w:rPr>
          <w:lang w:eastAsia="zh-CN"/>
        </w:rPr>
        <w:t>R1-1903812, “Summary of efficient and low latency serving cell configuration/activation/setup”, Athens, Greece, 25 February – 1 March, 2019.</w:t>
      </w:r>
      <w:bookmarkEnd w:id="7"/>
    </w:p>
    <w:p>
      <w:pPr>
        <w:pStyle w:val="126"/>
        <w:rPr>
          <w:lang w:eastAsia="zh-CN"/>
        </w:rPr>
      </w:pPr>
      <w:bookmarkStart w:id="8" w:name="_Ref4607597"/>
      <w:r>
        <w:rPr>
          <w:lang w:eastAsia="zh-CN"/>
        </w:rPr>
        <w:t>38.133, Requirements for support of radio resource management.</w:t>
      </w:r>
      <w:bookmarkEnd w:id="8"/>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5</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5</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EBE69"/>
    <w:multiLevelType w:val="singleLevel"/>
    <w:tmpl w:val="061EBE69"/>
    <w:lvl w:ilvl="0" w:tentative="0">
      <w:start w:val="1"/>
      <w:numFmt w:val="bullet"/>
      <w:lvlText w:val="−"/>
      <w:lvlJc w:val="left"/>
      <w:pPr>
        <w:ind w:left="420" w:hanging="420"/>
      </w:pPr>
      <w:rPr>
        <w:rFonts w:hint="default" w:ascii="Arial" w:hAnsi="Arial" w:cs="Arial"/>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F6B3AD7"/>
    <w:multiLevelType w:val="multilevel"/>
    <w:tmpl w:val="0F6B3AD7"/>
    <w:lvl w:ilvl="0" w:tentative="0">
      <w:start w:val="1"/>
      <w:numFmt w:val="bullet"/>
      <w:lvlText w:val=""/>
      <w:lvlJc w:val="left"/>
      <w:pPr>
        <w:ind w:left="620" w:hanging="420"/>
      </w:pPr>
      <w:rPr>
        <w:rFonts w:hint="default" w:ascii="Symbol" w:hAnsi="Symbol"/>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3B957963"/>
    <w:multiLevelType w:val="multilevel"/>
    <w:tmpl w:val="3B95796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2C422D0"/>
    <w:multiLevelType w:val="multilevel"/>
    <w:tmpl w:val="42C422D0"/>
    <w:lvl w:ilvl="0" w:tentative="0">
      <w:start w:val="1"/>
      <w:numFmt w:val="bullet"/>
      <w:lvlText w:val=""/>
      <w:lvlJc w:val="left"/>
      <w:pPr>
        <w:ind w:left="708" w:hanging="420"/>
      </w:pPr>
      <w:rPr>
        <w:rFonts w:hint="default" w:ascii="Symbol" w:hAnsi="Symbol"/>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C8127F5"/>
    <w:multiLevelType w:val="multilevel"/>
    <w:tmpl w:val="7C8127F5"/>
    <w:lvl w:ilvl="0" w:tentative="0">
      <w:start w:val="1"/>
      <w:numFmt w:val="decimal"/>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1"/>
  </w:num>
  <w:num w:numId="6">
    <w:abstractNumId w:val="8"/>
  </w:num>
  <w:num w:numId="7">
    <w:abstractNumId w:val="4"/>
  </w:num>
  <w:num w:numId="8">
    <w:abstractNumId w:val="10"/>
  </w:num>
  <w:num w:numId="9">
    <w:abstractNumId w:val="12"/>
    <w:lvlOverride w:ilvl="0">
      <w:startOverride w:val="1"/>
    </w:lvlOverride>
  </w:num>
  <w:num w:numId="10">
    <w:abstractNumId w:val="6"/>
  </w:num>
  <w:num w:numId="11">
    <w:abstractNumId w:val="7"/>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46"/>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305"/>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98F"/>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050C"/>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5A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5B9"/>
    <w:rsid w:val="0010660E"/>
    <w:rsid w:val="0010682A"/>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764"/>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A5F"/>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9E8"/>
    <w:rsid w:val="001C4A39"/>
    <w:rsid w:val="001C4F5F"/>
    <w:rsid w:val="001C54B8"/>
    <w:rsid w:val="001C589B"/>
    <w:rsid w:val="001C58A6"/>
    <w:rsid w:val="001C5AE4"/>
    <w:rsid w:val="001C5BC8"/>
    <w:rsid w:val="001C5DBB"/>
    <w:rsid w:val="001C5F88"/>
    <w:rsid w:val="001C6182"/>
    <w:rsid w:val="001C619C"/>
    <w:rsid w:val="001C639F"/>
    <w:rsid w:val="001C66D2"/>
    <w:rsid w:val="001C671F"/>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E6C"/>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8C"/>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6B08"/>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5965"/>
    <w:rsid w:val="003A632A"/>
    <w:rsid w:val="003A6330"/>
    <w:rsid w:val="003A6619"/>
    <w:rsid w:val="003A6CC0"/>
    <w:rsid w:val="003A71E1"/>
    <w:rsid w:val="003A76A9"/>
    <w:rsid w:val="003A7747"/>
    <w:rsid w:val="003B0299"/>
    <w:rsid w:val="003B0B4D"/>
    <w:rsid w:val="003B1C34"/>
    <w:rsid w:val="003B2448"/>
    <w:rsid w:val="003B248F"/>
    <w:rsid w:val="003B2A6D"/>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CEE"/>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0EB"/>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848"/>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3C0"/>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3B2"/>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A47"/>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0EB6"/>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76C"/>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CD7"/>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05"/>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64"/>
    <w:rsid w:val="006D0556"/>
    <w:rsid w:val="006D0846"/>
    <w:rsid w:val="006D0B31"/>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231"/>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4EC"/>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70B"/>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01"/>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300"/>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A73"/>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3F1E"/>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DCF"/>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2C5"/>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5D1"/>
    <w:rsid w:val="00850AE8"/>
    <w:rsid w:val="00850B13"/>
    <w:rsid w:val="00851B22"/>
    <w:rsid w:val="0085228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46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A01"/>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499"/>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BD8"/>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CE"/>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3CA"/>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152"/>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400"/>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756"/>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1F1"/>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0FF"/>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F0F"/>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0EF4"/>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CD"/>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636"/>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6F00"/>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4FC4"/>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761"/>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B4F"/>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38"/>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3B7"/>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D5D"/>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5F98"/>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363"/>
    <w:rsid w:val="00E47D5F"/>
    <w:rsid w:val="00E47D96"/>
    <w:rsid w:val="00E47DF6"/>
    <w:rsid w:val="00E50344"/>
    <w:rsid w:val="00E508D6"/>
    <w:rsid w:val="00E50BBD"/>
    <w:rsid w:val="00E515A3"/>
    <w:rsid w:val="00E51E23"/>
    <w:rsid w:val="00E523F3"/>
    <w:rsid w:val="00E52A15"/>
    <w:rsid w:val="00E52F76"/>
    <w:rsid w:val="00E5315C"/>
    <w:rsid w:val="00E53164"/>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577"/>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648"/>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0BF5"/>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82D"/>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1B63"/>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6E42"/>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5C20"/>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E08"/>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14C"/>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3B25C4C"/>
    <w:rsid w:val="067D4C1C"/>
    <w:rsid w:val="06B127E5"/>
    <w:rsid w:val="072F2729"/>
    <w:rsid w:val="07C21FA9"/>
    <w:rsid w:val="0957797D"/>
    <w:rsid w:val="0972706B"/>
    <w:rsid w:val="09C21BB6"/>
    <w:rsid w:val="0AFC60B7"/>
    <w:rsid w:val="0BAD7041"/>
    <w:rsid w:val="0C6F5654"/>
    <w:rsid w:val="0D132BA9"/>
    <w:rsid w:val="0D660AC2"/>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C766428"/>
    <w:rsid w:val="1DD50930"/>
    <w:rsid w:val="1DF407BB"/>
    <w:rsid w:val="1E38003B"/>
    <w:rsid w:val="1F850095"/>
    <w:rsid w:val="1FB91CD0"/>
    <w:rsid w:val="20910CB1"/>
    <w:rsid w:val="20CD42FE"/>
    <w:rsid w:val="21035A99"/>
    <w:rsid w:val="21282288"/>
    <w:rsid w:val="23680C07"/>
    <w:rsid w:val="239E142D"/>
    <w:rsid w:val="23A63FF5"/>
    <w:rsid w:val="245870DE"/>
    <w:rsid w:val="247247A7"/>
    <w:rsid w:val="2473146A"/>
    <w:rsid w:val="27C5366D"/>
    <w:rsid w:val="27DD67CA"/>
    <w:rsid w:val="28690808"/>
    <w:rsid w:val="28B07E55"/>
    <w:rsid w:val="28B54AA2"/>
    <w:rsid w:val="2A0F0B23"/>
    <w:rsid w:val="2AFE2B7E"/>
    <w:rsid w:val="2D376513"/>
    <w:rsid w:val="2DC863F1"/>
    <w:rsid w:val="2EB72406"/>
    <w:rsid w:val="2F2367DE"/>
    <w:rsid w:val="32FE23BF"/>
    <w:rsid w:val="330E6893"/>
    <w:rsid w:val="3511129D"/>
    <w:rsid w:val="359455FE"/>
    <w:rsid w:val="35D65248"/>
    <w:rsid w:val="36CD07B0"/>
    <w:rsid w:val="375C57D7"/>
    <w:rsid w:val="37DD651E"/>
    <w:rsid w:val="38BA113F"/>
    <w:rsid w:val="3A135075"/>
    <w:rsid w:val="3A8424B5"/>
    <w:rsid w:val="3AB31D0C"/>
    <w:rsid w:val="3B4A3B53"/>
    <w:rsid w:val="3D7642C9"/>
    <w:rsid w:val="3E7347F4"/>
    <w:rsid w:val="3EF83C43"/>
    <w:rsid w:val="3F175FC8"/>
    <w:rsid w:val="3FD010A5"/>
    <w:rsid w:val="40850DCD"/>
    <w:rsid w:val="40C06D43"/>
    <w:rsid w:val="41AC1D9C"/>
    <w:rsid w:val="4242619A"/>
    <w:rsid w:val="42B20782"/>
    <w:rsid w:val="44917C93"/>
    <w:rsid w:val="46D41E44"/>
    <w:rsid w:val="47AE2F53"/>
    <w:rsid w:val="496938E0"/>
    <w:rsid w:val="49882B35"/>
    <w:rsid w:val="4B3872E6"/>
    <w:rsid w:val="4CA149AE"/>
    <w:rsid w:val="4DF51404"/>
    <w:rsid w:val="4E317917"/>
    <w:rsid w:val="4E5633F4"/>
    <w:rsid w:val="4E7740D9"/>
    <w:rsid w:val="4EAC0AFF"/>
    <w:rsid w:val="4EC2021D"/>
    <w:rsid w:val="50FD13B2"/>
    <w:rsid w:val="54CE2507"/>
    <w:rsid w:val="55181CD2"/>
    <w:rsid w:val="55D01D97"/>
    <w:rsid w:val="57244B18"/>
    <w:rsid w:val="57EF6871"/>
    <w:rsid w:val="58240039"/>
    <w:rsid w:val="595A121E"/>
    <w:rsid w:val="5AF07FF7"/>
    <w:rsid w:val="5AF422E5"/>
    <w:rsid w:val="5BF26431"/>
    <w:rsid w:val="5C182AA6"/>
    <w:rsid w:val="5E780DEA"/>
    <w:rsid w:val="5F631FA8"/>
    <w:rsid w:val="65507243"/>
    <w:rsid w:val="656027FF"/>
    <w:rsid w:val="659543A9"/>
    <w:rsid w:val="66457E51"/>
    <w:rsid w:val="691A3243"/>
    <w:rsid w:val="6A782EAA"/>
    <w:rsid w:val="6B704279"/>
    <w:rsid w:val="6D020EA1"/>
    <w:rsid w:val="6E0F1211"/>
    <w:rsid w:val="6FBD0858"/>
    <w:rsid w:val="70200E0B"/>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C107195"/>
    <w:rsid w:val="7CBA00E1"/>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qFormat/>
    <w:uiPriority w:val="1"/>
  </w:style>
  <w:style w:type="table" w:default="1" w:styleId="5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楷体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16"/>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0"/>
    <w:link w:val="38"/>
    <w:qFormat/>
    <w:uiPriority w:val="99"/>
    <w:rPr>
      <w:rFonts w:ascii="Arial" w:hAnsi="Arial"/>
      <w:b/>
      <w:i/>
      <w:sz w:val="18"/>
      <w:lang w:eastAsia="en-US"/>
    </w:rPr>
  </w:style>
  <w:style w:type="character" w:customStyle="1" w:styleId="128">
    <w:name w:val="正文文本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30"/>
    <w:qFormat/>
    <w:uiPriority w:val="99"/>
    <w:rPr>
      <w:rFonts w:ascii="Times New Roman" w:hAnsi="Times New Roman"/>
      <w:b/>
      <w:bCs/>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B77F31-01DA-47D4-B113-79DF41C03148}">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5</Pages>
  <Words>2132</Words>
  <Characters>12153</Characters>
  <Lines>101</Lines>
  <Paragraphs>28</Paragraphs>
  <TotalTime>0</TotalTime>
  <ScaleCrop>false</ScaleCrop>
  <LinksUpToDate>false</LinksUpToDate>
  <CharactersWithSpaces>14257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2019-03-29T13:51:00Z</dcterms:created>
  <dc:creator>ZTE Corporation</dc:creator>
  <cp:lastModifiedBy>ZTE</cp:lastModifiedBy>
  <cp:lastPrinted>2018-04-07T03:05:00Z</cp:lastPrinted>
  <dcterms:modified xsi:type="dcterms:W3CDTF">2019-03-30T02:58:36Z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